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Šā likuma 1. panta 38. punkts, 31.</w:t>
            </w:r>
            <w:r w:rsidR="00000000" w:rsidRPr="00000000" w:rsidDel="00000000">
              <w:rPr>
                <w:vertAlign w:val="superscript"/>
                <w:rtl w:val="0"/>
              </w:rPr>
              <w:t xml:space="preserve">1</w:t>
            </w:r>
            <w:r w:rsidR="00000000" w:rsidRPr="00000000" w:rsidDel="00000000">
              <w:rPr>
                <w:rtl w:val="0"/>
              </w:rPr>
              <w:t xml:space="preserve"> pants, 36.</w:t>
            </w:r>
            <w:r w:rsidR="00000000" w:rsidRPr="00000000" w:rsidDel="00000000">
              <w:rPr>
                <w:vertAlign w:val="superscript"/>
                <w:rtl w:val="0"/>
              </w:rPr>
              <w:t xml:space="preserve">3</w:t>
            </w:r>
            <w:r w:rsidR="00000000" w:rsidRPr="00000000" w:rsidDel="00000000">
              <w:rPr>
                <w:rtl w:val="0"/>
              </w:rPr>
              <w:t xml:space="preserve"> pants  un 39. panta ceturtā un piektā daļa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likumprojekta redakcija nosaka, ka Vakcinācijas informācijas sistēmas mērķiem ziņas paredzēts saņemt arī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pārejas noteikumu 13. punktu likuma 31.</w:t>
            </w:r>
            <w:r w:rsidR="00000000" w:rsidRPr="00000000" w:rsidDel="00000000">
              <w:rPr>
                <w:vertAlign w:val="superscript"/>
                <w:rtl w:val="0"/>
              </w:rPr>
              <w:t xml:space="preserve">1</w:t>
            </w:r>
            <w:r w:rsidR="00000000" w:rsidRPr="00000000" w:rsidDel="00000000">
              <w:rPr>
                <w:rtl w:val="0"/>
              </w:rPr>
              <w:t xml:space="preserve"> pants stāsies spēkā 2024. gada 1. janvārī un Ministru kabinetam līdz 2024. gada 1. janvārim ir jāizdod noteikumi par vakcinācijas informācijas sistēmā iekļaujamo informāciju, tās apjomu, saņemšanas, iekļaušanas un apstrādes kārtību un glabāšanas termiņu, piekļuves noteikumus, institūcijas, kuras iekļaus, saņems un apstrādās datus vakcinācijas informācijas sistēmā, kā arī kārtību, kādā iegūst informāciju no attiecīgajām informācijas sistēmām,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norādītajam pilnvarojumam Ministru kabinetam attiecīgajos Ministru kabineta noteikumos tiks noteikta arī kārtība, kādā tiks iegūta informācija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likumprojekta 3. pantā ietvertā 31.</w:t>
            </w:r>
            <w:r w:rsidR="00000000" w:rsidRPr="00000000" w:rsidDel="00000000">
              <w:rPr>
                <w:vertAlign w:val="superscript"/>
                <w:rtl w:val="0"/>
              </w:rPr>
              <w:t xml:space="preserve">1</w:t>
            </w:r>
            <w:r w:rsidR="00000000" w:rsidRPr="00000000" w:rsidDel="00000000">
              <w:rPr>
                <w:rtl w:val="0"/>
              </w:rPr>
              <w:t xml:space="preserve"> panta izpildei gan Nacionālajam veselības dienestam  (izstrādājams serviss datu saņemšanai), gan Pilsonības un migrācijas lietu pārvaldei (izstrādājams serviss datu nodošanai) ir jāizstrādā attiecīga programmatūras tehniskā dokumentācija un jāpielāgo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risinājuma izstrādei Pilsonības un migrācijas lietu pārvaldei un abu pušu līgumisko attiecību sakārtošanai ir nepieciešami vismaz 6 kalendārie mēneši, no brīža, kad ir pieņemti minētie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attiecībā par ziņu saņemšanu no Fizisko personu reģistra ir nosakāms tāds termiņš, kura laikā gan Pilsonības un migrācijas lietu pārvaldei, gan Nacionālajam veselības dienestam būtu iespējams veikt tehniskā risinājuma izstrādi un līgumisko attiecību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pārejas noteikumu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sākotnējās ietekmes novērtējuma ziņojuma (anotācijas) 7. sadaļu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sākotnējās ietekmes novērtējuma ziņojuma (anotācijas) 1.3. apakšpunktā norādīt, kāda apjoma ziņas ir nepieciešams saņemt no Fizisko personu reģistra, lai tiktu nodrošināts Vakcinācijas informācijas sistēmas darbības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21.08.2023.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21.08.2023.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