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vai senāta atzinuma gadījumā padome izveido saskaņošanas komisiju, kuras sastāvu veido pēc vienlīdzīgas pārstāvniecības principa, iekļaujot studējošo pašpārvaldes, senāta,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Pašreiz</w:t>
            </w:r>
            <w:r w:rsidR="00000000" w:rsidRPr="00000000" w:rsidDel="00000000">
              <w:rPr>
                <w:rtl w:val="0"/>
              </w:rPr>
              <w:t xml:space="preserve"> </w:t>
            </w:r>
            <w:r w:rsidR="00000000" w:rsidRPr="00000000" w:rsidDel="00000000">
              <w:rPr>
                <w:i w:val="1"/>
                <w:rtl w:val="0"/>
              </w:rPr>
              <w:t xml:space="preserve">(precizējamais izcelts treknrakstā)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vai senāta atzinuma gadījumā padome izveido saskaņošanas komisiju, kuras sastāvu veido pēc vienlīdzīgas pārstāvniecības principa, iekļaujot studējošo pašpārvaldes, senāta, rektora un padomes pārstāvjus. </w:t>
            </w:r>
            <w:r w:rsidR="00000000" w:rsidRPr="00000000" w:rsidDel="00000000">
              <w:rPr>
                <w:b w:val="1"/>
                <w:rtl w:val="0"/>
              </w:rPr>
              <w:t xml:space="preserve">Saskaņošanas komisijas lēmumu apstiprina padome ar klātesošo divu trešdaļu balsu vairākumu</w:t>
            </w:r>
            <w:r w:rsidR="00000000" w:rsidRPr="00000000" w:rsidDel="00000000">
              <w:rPr>
                <w:rtl w:val="0"/>
              </w:rPr>
              <w:t xml:space="preserve">. Studiju vietu skaitu privātpersonu dibinātajā augstskolā nosaka tās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Apsvērt iespēju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padomei vajadzētu apstiprināt saskaņošanas komisijas lēmumu (kā vienu no alternatīvām) ar vienkāršu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kas notiek (tālākā rīcība/procedūra), ja padome neapstiprina saskaņošanas padomes piedāvājumu.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17.02.2026.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