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11. marta noteikumos Nr. 173 "Valsts pamatbudžeta valsts autoceļu fonda programmai piešķirto līdzekļu izlietošanas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Pašvaldības nodrošina mērķdotācijas līdzekļu uzskaiti atsevišķi no citiem pašvaldības </w:t>
            </w:r>
            <w:r w:rsidR="00000000" w:rsidRPr="00000000" w:rsidDel="00000000">
              <w:rPr>
                <w:rtl w:val="0"/>
              </w:rPr>
              <w:t xml:space="preserve">pamatbudžeta</w:t>
            </w:r>
            <w:r w:rsidR="00000000" w:rsidRPr="00000000" w:rsidDel="00000000">
              <w:rPr>
                <w:rtl w:val="0"/>
              </w:rPr>
              <w:t xml:space="preserve"> ieņēmumiem un izdevumiem atsevišķā norēķinu kontā kredītiestādē vai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konta nodrošināšana bija nepieciešama saņemtās valsts mērķdotācijas izlietojuma kontroles nodrošināšanai pirms tika ieviestas IT tehnoloģijas. Šobrīd visās grāmatvedības informācijas sistēmās ir iespējama nodalīta grāmatvedības uzskaite valsts mērķdotācijas izlietojuma kontrolei, līdz ar to nav nepieciešamības pēc atsevišķa bankas konta. Atsevišķa konta uzturēšana pašvaldībās prasa papildus administratīvo kapacitāti, kas faktiski patērē gan administratīvos, gan finansiālos resursus. Ņemot vērā, ka valstī ir jāmazina birokrātiskais slogs un jāsekmē administratīvās pārvaldības efektivitāte, priekšlikums svītrot 11.pantu.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pašvaldību autoceļu un ielu finansēšanai paredzētās mērķdotācijas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2.pielikumu,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esošo MK noteikumu 23. un 23.prim punktam, pašvaldība ir tiesīga izmantot valsts mērķdotāciju: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autoceļu un ielu uzturēšanai, tai skaitā ar uzturēšanas darbu veikšanu saistīto darbinieku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autoceļu un ielu būvniecībai, tai skaitā atjaunošanai, pārbūvei, nojaukšanai, projektēšanai, būvuzraudzībai un autoruzraudzībai, kā arī Eiropas Savienības struktūrfondu autoceļu un ielu projektu īstenošanai nepieciešamajam pašvaldību līdzfinansējumam un pašvaldību autoceļu un ielu tīkla finansēšanai ņemto kredītu pamatsummas atmaksāšanai;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pirkšanai, lai uzlabotu un attīstītu pašvaldību autoceļus un ielas, kā arī bankas konta apkalpošanas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Mērķdotāciju prioritāri izlieto tranzīta ielām, tiltiem, satiksmes drošības uzlabošanai, autoceļiem un ielām, pa kurām kursē sabiedriskais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pārskata veidlapu par valsts mērķdotācijas izlietojumu, kā arī tās aizpildīšanas skaidrojumus, veidlapā nav atrodama vieta, kur būtu uzrādāmi izdevumi, kas izlietoti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autoceļu un ielu tīkla finansēšanai ņemto kredītu pamatsummas atmaksāšanai;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ir ārpus 23.prim pantā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atbildtīgus precizējumus veidlapā vai sniegt skaidrojumus par veidlapas aizpildīšanu.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23-TA-1286</w:t>
    </w:r>
    <w:r>
      <w:br/>
    </w:r>
    <w:r w:rsidR="00000000" w:rsidRPr="00000000" w:rsidDel="00000000">
      <w:rPr>
        <w:rtl w:val="0"/>
      </w:rPr>
      <w:t xml:space="preserve">Izdrukāts 11.07.2023.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23-TA-1286</w:t>
    </w:r>
    <w:r>
      <w:br/>
    </w:r>
    <w:r w:rsidR="00000000" w:rsidRPr="00000000" w:rsidDel="00000000">
      <w:rPr>
        <w:rtl w:val="0"/>
      </w:rPr>
      <w:t xml:space="preserve">Izdrukāts 11.07.2023.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Atzinumi_23-TA-1286.docx</dc:title>
</cp:coreProperties>
</file>

<file path=docProps/custom.xml><?xml version="1.0" encoding="utf-8"?>
<Properties xmlns="http://schemas.openxmlformats.org/officeDocument/2006/custom-properties" xmlns:vt="http://schemas.openxmlformats.org/officeDocument/2006/docPropsVTypes"/>
</file>