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anotācijā sniegto skaidrojumu, noteikumu projekta būtību un tā atbilstību MK 2023. gada 13. jūlija sēdes protokollēmumā (prot. Nr. 36 85. § 3. punkts) noteiktajam, ka SAM MK noteikumos ir jāparedz nepieciešamība finansējuma saņēmējam veikt projekta izmaksu un ieguvumu analīzi, tomēr secinām, ka anotācijā norādītais pamatojums "neaktīvu NEET jauniešu aktivizēšana, individuālo prasmju un kompetenču pilnveide, kā arī mērķa grupas jauniešu iesaiste mācību pasākumos un pozitīvas attieksmes veidošana pret izglītošanos, kā arī darba ar jauniešiem plānošanas, organizēšanas, īstenošanas uzlabošana nav objektīvi nosakāma vērtība naudas izteiksmē, kas būtu izmantojama izmaksu un ieguvumu analīzes veikšanā" nav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pasākumā potenciālie ieguvumi būtu meklējami (1) valsts pārvaldes izmaksu, kas nepieciešami funkciju veikšanai, ietaupījumā un (2) valsts budžeta papildu ieņēmumos, kas rodas mērķa grupai (gala labuma saņēmējiem) iekļaujoties darba tirgū un maksājot vairāk nodokļus valsts budžetā (salīdzinot situāciju ar projektu un bez projekta). Tā kā atbalsta pasākumā ir noteikts rezultāta rādītājs “Dalībnieki, kuri pēc dalības pārtraukšanas iesaistījušies izglītībā  vai mācībās” - 405 jaunieši -, atkārtoti lūdzam papildināt noteikumu projektu ar normu, kas paredz, ka projekta iesniegumā finansējuma saņēmējs veic izmaksu un ieguvumu analīzi, kuras ietvaros jāpamato, ka projekta ieguvumi būs lielāki par projekta izmaksām, vai ar šādu informāciju papildināt anotācijā esošo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25.1.1.3. pirms iesaistes projektā – jaunieša atbilstības pārbaude projekta mērķa grupai sadarbībā ar finansējuma saņēmēju, izmantojot informāciju no pieejamajām datu bāzēm un reģistriem;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25.1.1.3. apakšpunkts paredz jaunieša atbilstības pārbaudi projekta mērķa grupai </w:t>
            </w:r>
            <w:r w:rsidR="00000000" w:rsidRPr="00000000" w:rsidDel="00000000">
              <w:rPr>
                <w:u w:val="single"/>
                <w:rtl w:val="0"/>
              </w:rPr>
              <w:t xml:space="preserve">sadarbībā ar finansējuma saņēmēju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pretrunas un precizēt vai nu noteikumu projekta 25.1.1.3. apakšpunktu, vai 25. punkta ievaddaļu, ņemot vērā, ka no noteikumu projekta 25. punkta ievaddaļas izriet, ka finansējuma saņēmējam kā viena no atbalstāmajām darbībām arī var būt jaunieša atbilstības pārbaude projekta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izmaksas finansējuma saņēmējam un izmaksas, ko finansējuma saņēmējs plāno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28.2. apakšpunktā uzskaitītas </w:t>
            </w:r>
            <w:r w:rsidR="00000000" w:rsidRPr="00000000" w:rsidDel="00000000">
              <w:rPr>
                <w:u w:val="single"/>
                <w:rtl w:val="0"/>
              </w:rPr>
              <w:t xml:space="preserve">finansējuma saņēmējam plānotās izmaksas,</w:t>
            </w:r>
            <w:r w:rsidR="00000000" w:rsidRPr="00000000" w:rsidDel="00000000">
              <w:rPr>
                <w:rtl w:val="0"/>
              </w:rPr>
              <w:t xml:space="preserve"> savukārt 28.1. apakšpunktā - </w:t>
            </w:r>
            <w:r w:rsidR="00000000" w:rsidRPr="00000000" w:rsidDel="00000000">
              <w:rPr>
                <w:u w:val="single"/>
                <w:rtl w:val="0"/>
              </w:rPr>
              <w:t xml:space="preserve">izmaksas finansējuma saņēmējam un</w:t>
            </w:r>
            <w:r w:rsidR="00000000" w:rsidRPr="00000000" w:rsidDel="00000000">
              <w:rPr>
                <w:rtl w:val="0"/>
              </w:rPr>
              <w:t xml:space="preserve"> izmaksas, ko finansējuma saņēmējs plāno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28.1. apakšpunkta ievaddaļu, svītrojot vārdus "izmaksas finansējuma saņēmējam un", tādējādi novēršot normu savstarpēju dublēšanos, vai sniegt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28.2.1. tiešās attiecināmās personāla izmaksas, kas ietver projekta vadības personāla izmaksas, ieskaitot piemaksas, pabalstus un citas darbinieku atlīdzības izmaksas (izņemot virsstundas), šo noteikumu </w:t>
            </w:r>
            <w:r w:rsidR="00000000" w:rsidRPr="00000000" w:rsidDel="00000000">
              <w:rPr>
                <w:rtl w:val="0"/>
              </w:rPr>
              <w:t xml:space="preserve">26.3.</w:t>
            </w:r>
            <w:r w:rsidR="00000000" w:rsidRPr="00000000" w:rsidDel="00000000">
              <w:rPr>
                <w:rtl w:val="0"/>
              </w:rPr>
              <w:t xml:space="preserve"> apakšpunktā minēto atbalstāmo darbību īstenošanai un projekta īstenošanas personāla izmaksas šo noteikumu </w:t>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26.2.</w:t>
            </w:r>
            <w:r w:rsidR="00000000" w:rsidRPr="00000000" w:rsidDel="00000000">
              <w:rPr>
                <w:rtl w:val="0"/>
              </w:rPr>
              <w:t xml:space="preserve"> un </w:t>
            </w:r>
            <w:r w:rsidR="00000000" w:rsidRPr="00000000" w:rsidDel="00000000">
              <w:rPr>
                <w:rtl w:val="0"/>
              </w:rPr>
              <w:t xml:space="preserve">26.4.</w:t>
            </w:r>
            <w:r w:rsidR="00000000" w:rsidRPr="00000000" w:rsidDel="00000000">
              <w:rPr>
                <w:rtl w:val="0"/>
              </w:rPr>
              <w:t xml:space="preserve"> apakšpunktā noteiktās atbalstāmās darbības īstenošanai, kas līdz atbildīgās iestādes izstrādātās vienkāršoto izmaksu metodikas personāla izmaksām apstiprināšanai ir attiecināmas kā faktiskās izmaksas. Ja personāla iesaiste projektā ir nodrošināta saskaņā ar daļlaika izmaksu attiecināmības principu, attiecināma ir ne mazāka kā 30 procentu noslodze.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Vadlīniju attiecināmo izmaksu noteikšanai Eiropas Savienības kohēzijas politikas programmas 2021.-2027.gada plānošanas periodā 10.zemsvītras atsauci teksts "Ja personāla iesaiste projektā ir nodrošināta saskaņā ar daļlaika izmaksu attiecināmības principu, attiecināma ir ne mazāka kā 30 procentu noslodze." attiecas tikai uz faktiskām izmaksām. Lūdzam papildināt 28.2.1.apakšpunktu.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28.2.3. iekšzemes komandējumu un darba (dienesta) braucienu izmaksas finansējuma saņēmēja projekta vadības un īstenošanas personālam atbilstoši normatīvajiem aktiem par kārtību, kādā atlīdzināmi ar komandējumiem saistītie izdevumi šo noteikumu </w:t>
            </w:r>
            <w:r w:rsidR="00000000" w:rsidRPr="00000000" w:rsidDel="00000000">
              <w:rPr>
                <w:rtl w:val="0"/>
              </w:rPr>
              <w:t xml:space="preserve">26.</w:t>
            </w:r>
            <w:r w:rsidR="00000000" w:rsidRPr="00000000" w:rsidDel="00000000">
              <w:rPr>
                <w:rtl w:val="0"/>
              </w:rPr>
              <w:t xml:space="preserve"> punktā minēto atbalstāmo darbību īstenošanai. Latvijas iekšzemes komandējumu un darba braucienu izmaksas (tai skaitā sabiedriskā transporta izmaksas, degvielas izmaksas vieglajam transportlīdzeklim)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un Eiropas Savienības kohēzijas politikas programmas 2021.-2027.gadam”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transporta pakalpojumu izmaksas (tekstā: tai skaitā sabiedriskā transporta izmaksas, degvielas izmaksas vieglajam transportlīdzeklim) no iekšzemes komandējumu un darba (dienesta) braucienu izmaksām, veidojot  divus atsevišķus noteikumu punktus, ar attiecīgo vienas vienības izmaksu metodikas norādīšanu.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28.2.4. transportlīdzekļa nomas izmaksas, transporta pakalpojumu pirkšanas izmaksas finansējuma saņēmēja projekta vadības un īstenošanas personālam šo noteikumu </w:t>
            </w:r>
            <w:r w:rsidR="00000000" w:rsidRPr="00000000" w:rsidDel="00000000">
              <w:rPr>
                <w:rtl w:val="0"/>
              </w:rPr>
              <w:t xml:space="preserve">26.</w:t>
            </w:r>
            <w:r w:rsidR="00000000" w:rsidRPr="00000000" w:rsidDel="00000000">
              <w:rPr>
                <w:rtl w:val="0"/>
              </w:rPr>
              <w:t xml:space="preserve">punktā minēto atbalstāmo darbību īstenošanai, atbilstoši Latvijas Republikas normatīvajiem aktiem par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28.2.4.apakšpunktā tekstu "atbilstoši Latvijas Republikas normatīvajiem aktiem par kārtību, kādā atlīdzināmi ar komandējumiem saistītie izdevumi", jo transportlīdzekļa noma un transporta pakalpojumu pirkšana nav paredzēta 12.10.2010. MK noteikumos Nr.969.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un sadarbības partneris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finansējuma saņēmējs, sadarbības partneris un 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 minētie subjekti, kas noslēguši deleģēšanas vai pakalpojuma līgumu ar sadarbības partneri vai finansējuma saņēmēju un piedalās projekta īstenošanā uz deleģēšanas līguma vai pakalpojuma līguma pamata, paraksta interešu konflikta neesamības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48. punktu, skaidri izdalot, ka deleģēšanas līgums tiek slēgts ar sadarbības partneri, savukārt pakalpojuma līgums - 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11.10.2023.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11.10.2023.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