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22-TA-2337: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4.2.2.5. pasākuma “Dalība starptautiskos izglītības pētījumos izglītības kvalitātes monitoringa sistēmas attīstībai un nodrošināšanai”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9.0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6.0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Šo noteikumu  4.3.1., 4.3.2. un 4.3.3. apakšpunktos minētos rādītājus sasniedz:</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ir veikti precizējumi noteikumu projekta 5. punktā, lūdzam pārliecināties, vai anotācijā ir aktuālā informācija, un nepieciešamības gadījumā precizēt anotāciju, piemēram, par OECD PISA 2029, kurš ir dzēsts no noteikumu projekta.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Prasības projekta iesniedzējam un sadarbības partneriem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ar pienākumu finansējuma saņēmējam izstrādāt nosacījumus, kā tas pārliecinās par interešu konflikta neesamību, tostarp identificē apstākļus, kuri izraisa vai var izraisīt interešu konfliktu, kas rada apdraudējumu vai kaitējumu projekta īstenošanā, nosaka veicamos pasākumus un izstrādā darbības plānu interešu konflikta preventīvai novēršanai un gadījumiem, kad interešu konflikts ir atklāts. Kā arī, aicinām noteikumos iekļauj prasību, ka finansējuma saņēmējs un sadarbības partneris paraksta interešu konflikta neesamības apliecinājumu. Vēršam uzmanību, ka finansējuma saņēmējam un sadarbības partnerim, cita starpā jānodrošina, ka, īstenojot projektu, neiestājas interešu konflikts Eiropas Parlamenta un Padomes 2018. gada 18. jūlija Regulas (ES, Euratom) Nr.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61. panta izpratnē.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 finansējuma saņēmēja projekta vadības un īstenošanas personāla atlīdzības izmaksas šo noteikumu 18.2. apakšpunktā noteiktās atbalstāmās darbības īstenošanai, pamatojoties uz darba līgumu vai rīkojumu par pretendenta iecelšanu ierēdņa amatā, tas ir atalgojums un darba devēja valsts sociālās apdrošināšanas obligātās iemaksas, pabalsti un kompensācijas atbilstoši finansējuma saņēmēja personāla politikai (izņemot virsstundas). Ja projekta finansējuma saņēmēja vadības un īstenošanas personāla iesaiste projektā ir nodrošināta saskaņā ar daļlaika attiecināmības principu, attiecināma ir ne mazāka kā 30 % noslodze no normāla darba laika;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vienādu pieeju un visu personāla atlīdzības izmaksu segšanai tiktu piemērotas vienkāršotās izmaksas, aicinām finansējuma saņēmēja projekta vadības un īstenošanas personāla atlīdzības izmaksu attiecināšanai izstrādāt vienības izmaksu standarta likmes metodiku.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Trizna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Šo noteikumu 18.1.2, 18.1.3. un 18.1.4. minēto atbalstāmo darbību izmaksas tiek plānotas un attiecinātas uz sadarbības partneri atbilstoši atbildīgās iestādes izstrādātajai vienkāršoto izmaksu aprēķina metodikai, kas saskaņota ar vadošo iestādi. Sadarbības partnera budžeta projekta tāmē ietveramas šādas tiešo attiecināmo izmaksu pozīcijas: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redakcionāli precizēt noteikumu projekta  21.punkta otro teikumu.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noteikumu 18.1.2, 18.1.3. un 18.1.4. minēto atbalstāmo darbību izmaksas tiek plānotas un attiecinātas uz sadarbības partneri atbilstoši atbildīgās iestādes izstrādātajai vienkāršoto izmaksu aprēķina metodikai, kas saskaņota ar vadošo iestādi.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Sadarbības partnerim attiecināmas šādas tiešo attiecināmo izmaksu pozīcijas: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Trizna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 ka 2023. gadā līdz vienošanās par projekta īstenošanu noslēgšanai ar Centrālo finanšu un līgumu aģentūru 4.2.2.5. pasākuma "Dalība starptautiskos izglītības pētījumos izglītības kvalitātes monitoringa sistēmas attīstībai un nodrošināšanai" (turpmāk – 4.2.2.5. pasākums) īstenošanai nepieciešamo finansējumu attiecināmo izmaksu segšanai Izglītības un zinātnes ministrijai kā 4.2.2.5. pasākuma plānotajam finansējuma saņēmējam līdz 130 097 </w:t>
            </w:r>
            <w:r w:rsidR="00000000" w:rsidRPr="00000000" w:rsidDel="00000000">
              <w:rPr>
                <w:i w:val="1"/>
                <w:rtl w:val="0"/>
              </w:rPr>
              <w:t xml:space="preserve">euro </w:t>
            </w:r>
            <w:r w:rsidR="00000000" w:rsidRPr="00000000" w:rsidDel="00000000">
              <w:rPr>
                <w:rtl w:val="0"/>
              </w:rPr>
              <w:t xml:space="preserve">apmērā nodrošina no 74. resora "Gadskārtējā valsts budžeta izpildes procesā pārdalāmais finansējums" programmas 80.00.00 "Nesadalītais finansējums Eiropas Savienības politiku instrumentu un pārējās ārvalstu finanšu palīdzības līdzfinansēto projektu un pasākumu īstenošanai" normatīvajos aktos noteiktajā kārtībā.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anotācijā sniegt skaidrojumu 4.2.2.5. pasākuma "Dalība starptautiskos izglītības pētījumos izglītības kvalitātes monitoringa sistēmas attīstībai un nodrošināšanai" nepieciešamā finansējuma attiecināmo izmaksu pieaugumam no 88 043 </w:t>
            </w:r>
            <w:r w:rsidR="00000000" w:rsidRPr="00000000" w:rsidDel="00000000">
              <w:rPr>
                <w:i w:val="1"/>
                <w:rtl w:val="0"/>
              </w:rPr>
              <w:t xml:space="preserve">euro </w:t>
            </w:r>
            <w:r w:rsidR="00000000" w:rsidRPr="00000000" w:rsidDel="00000000">
              <w:rPr>
                <w:rtl w:val="0"/>
              </w:rPr>
              <w:t xml:space="preserve">uz 130 097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Barkovska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22-TA-2337</w:t>
    </w:r>
    <w:r>
      <w:br/>
    </w:r>
    <w:r w:rsidR="00000000" w:rsidRPr="00000000" w:rsidDel="00000000">
      <w:rPr>
        <w:rtl w:val="0"/>
      </w:rPr>
      <w:t xml:space="preserve">Izdrukāts 23.05.2023. 21.42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22-TA-2337</w:t>
    </w:r>
    <w:r>
      <w:br/>
    </w:r>
    <w:r w:rsidR="00000000" w:rsidRPr="00000000" w:rsidDel="00000000">
      <w:rPr>
        <w:rtl w:val="0"/>
      </w:rPr>
      <w:t xml:space="preserve">Izdrukāts 23.05.2023. 21.42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Atzinumi_22-TA-2337.docx</dc:title>
</cp:coreProperties>
</file>

<file path=docProps/custom.xml><?xml version="1.0" encoding="utf-8"?>
<Properties xmlns="http://schemas.openxmlformats.org/officeDocument/2006/custom-properties" xmlns:vt="http://schemas.openxmlformats.org/officeDocument/2006/docPropsVTypes"/>
</file>