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w:t>
            </w:r>
            <w:r w:rsidR="00000000" w:rsidRPr="00000000" w:rsidDel="00000000">
              <w:rPr>
                <w:color w:val="#1abc9c"/>
                <w:rtl w:val="0"/>
              </w:rPr>
              <w:t xml:space="preserve"> </w:t>
            </w:r>
            <w:r w:rsidR="00000000" w:rsidRPr="00000000" w:rsidDel="00000000">
              <w:rPr>
                <w:rtl w:val="0"/>
              </w:rPr>
              <w:t xml:space="preserve">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Šajā punktā atļautajos gadījumos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iekavas ar vārdiem (apstāties un stāvēt), kā arī svītrot precizētās normas pēdējā teikuma ievaddaļu. Noteikumos nepieciešams noteikt, ka jebkurš teritorijas apmeklētājs, tai skaitā sēņotājs vai ogotājs, var novietot auto ceļa vai brauktuves malā, lai netraucētu pārvietošanos pa ceļiem un dabiskām brauktuvēm. Savukārt punktā minētajos izņēmuma gadījumos, apstāšanās vai stāvēšana var būt nepieciešama arī mežā vai uz lauka, piemēram, veicot lauksaimnieciskos vai meža darbus.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"galveno cirti"ar vārdu "kailcirti".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piekrīt, ka platlapju audzes var būt bioloģiski nozīmīgas, tomēr to pastāvēšana un veidošanās arī nākotnē ir saistīta ar meža īpašnieka izvēli. Galvenās cirtes aizliegums, nemotivē meža apsaimniekot tā, lai veidotos un saglabātos platlapju koku mežaudzes.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kailcirti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norāda, ka neatbalsta noteikumu projekta tālāku virzību, ja vienlaikus netiek virzīts  priekšlikums kompensāciju sistēmas par saimnieciskās darbības aprobežojumiem pilnveidošanu (turpmāk - kompensāciju sistēma). Nevienlīdzību un netaisnību saistībā ar jaunu aprobežojumu noteikšanu dabas aizsardzības labā meža īpašnieki uzsvēra šī gada 5.marta akcijā pie Ministru kabineta. Meža īpašnieki un meža nozarē strādājoši  ministru prezidentei lūdza nekavējoties pieņemt izmaiņas normatīvajā regulējumā par kompensācijām saimnieciskās darbības ierobežojumiem aizsargājamās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precizēt protokollēmumu ar jaunu punktu, kas noteiktu, ka noteikumi stājas spēkā vienlaikus ar izmaiņām kompensāciju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Āboliņa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20.03.2024.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20.03.2024.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