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25-TA-279: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2024. gada 20. februāra noteikumos Nr. 113 "Eiropas Savienības Atveseļošanas un noturības mehānisma plāna 2.2. reformu un investīciju virziena "Uzņēmumu digitālā transformācija un inovācijas" 2.2.1.5.i. investīcijas "Mediju nozares uzņēmumu digitālās transformācijas veicināšana" pasākuma "Mācības mediju nozares speciālistu digitālās kompetences un zināšanu pilnveidošanai"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anotācijā ietvert informāciju par to, ka ir plānota finansējuma saņēmēja informēšana par grozījumiem pēc to apstiprināšanas Ministru kabinetā.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Sanda Blumberga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skaidrojumu, vai, ņemot vērā ar noteikumu projektu paredzētos grozījumus, būs nepieciešams veikt arī grozījumus līgumā par projekta īstenošanu.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Ance Rudzīte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Kultūras ministriju skaidrot, kā sadalījumā pa investīcijas pasākumiem plānots sasniegt Padomes īstenošanas lēmuma (CID) rādītāju Nr.54 "Atbalstīto projektu skaits", nepieciešamības gadījumā ietverot grozījumus MK noteikumu projektā vai iesniedzot Finanšu ministrijā CID grozījumu priekšlikumu.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Sanda Blumberga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15.4. gala labuma guvēju digitālajai attīstībai un projekta mērķu sasniegšanai (saskaņā ar gala labuma guvēja digitālās attīstības plānu) nepieciešamo finansējuma saņēmēja noteikto auditorijas pētījumu risinājumu, informācijas un komunikācijas tehnoloģiju (iekārtas, programmatūra, licence) izstrādes, iegādes, atjaunošanas un modernizēšanas izmaksas. Šo noteikumu 15.4. apakšpunktā noteiktās izmaksas var veikt arī pats gala labuma guvējs;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MK noteikumu 15.4.apakšpunktā ietvertajiem izmaksu precizējumiem, lūgums anotācijā sniegt izvērtējumu par piedāvāto izmaiņu ietekmi uz investīcijas rādītāju sasniegšanu, kā arī noteikt pārejas nosacījumus šī punkta piemērošanai investīcijas projektos.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Sanda Blumberga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42.3. finansējuma saņēmēju līmenī izlases veidā nodrošina korupcijas, krāpšanas, interešu konflikta novēršanas principu pārbaudes saskaņā ar Eiropas Parlamenta un Padomes 2018. gada 18. jūlija Regulas (ES, </w:t>
            </w:r>
            <w:r w:rsidR="00000000" w:rsidRPr="00000000" w:rsidDel="00000000">
              <w:rPr>
                <w:i w:val="1"/>
                <w:rtl w:val="0"/>
              </w:rPr>
              <w:t xml:space="preserve">Euratom</w:t>
            </w:r>
            <w:r w:rsidR="00000000" w:rsidRPr="00000000" w:rsidDel="00000000">
              <w:rPr>
                <w:rtl w:val="0"/>
              </w:rPr>
              <w:t xml:space="preserve">) Nr. 2018/1046 par finanšu noteikumiem, ko piemēro Savienības vispārējam budžetam, ar kuru groza Regulas (ES) Nr. 1296/2013, (ES) Nr. 1301/2013, (ES) Nr. 1303/2013, (ES) Nr. 1304/2013, (ES) Nr. 1309/2013, (ES) Nr. 1316/2013, (ES) Nr. 223/2014, (ES) Nr. 283/2014 un Lēmumu Nr. 541/2014/ES un atceļ Regulu (ES, </w:t>
            </w:r>
            <w:r w:rsidR="00000000" w:rsidRPr="00000000" w:rsidDel="00000000">
              <w:rPr>
                <w:i w:val="1"/>
                <w:rtl w:val="0"/>
              </w:rPr>
              <w:t xml:space="preserve">Euratom</w:t>
            </w:r>
            <w:r w:rsidR="00000000" w:rsidRPr="00000000" w:rsidDel="00000000">
              <w:rPr>
                <w:rtl w:val="0"/>
              </w:rPr>
              <w:t xml:space="preserve">) Nr. 966/2012 (turpmāk – regula Nr. 2018/1046), 61. pantu, kā arī dubultfinansējuma riska novēršanas un sasniegto mērķu pamatojošās dokumentācijas pārbaudes izlases veidā, tai skaitā datu ticamības pārbaudes;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2024. gada 30. septembrī stājusies spēkā jaunā “Finanšu regula” – Eiropas Parlamenta un Padomes 2024. gada 23. septembra Regula (ES, Euratom) 2024/2509 par finanšu noteikumiem, ko piemēro Savienības vispārējam budžetam (pārstrādāta redakcija) (turpmāk - Regula 2024/2509). Saskaņā ar Regulas 2024/2509 279. pantu tā atceļ iepriekšējo “Finanšu regulu” – Eiropas Parlamenta un Padomes 2018. gada 18. jūlija Regula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(turpmāk - Regula 2018/1046).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Ministru kabineta 2024. gada 20. februāra noteikumu Nr. 113 "Eiropas Savienības Atveseļošanas un noturības mehānisma plāna 2.2. reformu un investīciju virziena "Uzņēmumu digitālā transformācija un inovācijas" 2.2.1.5.i. investīcijas "Mediju nozares uzņēmumu digitālās transformācijas veicināšana" pasākuma "Mācības mediju nozares speciālistu digitālās kompetences un zināšanu pilnveidošanai" īstenošanas noteikumi" 42.3., 43.2. un 43.16.1. apakšpunktā un pielikumā precizēt regulas atsauces, norādot atsauces uz Regulu 2024/2509. Saskaņā ar Regulas 2024/2509 279. pantu atsauces uz atcelto Regulu 2018/1046 uzskata par atsaucēm uz Regulu 2024/2509, un tās lasa saskaņā ar atbilstības tabulu Regulas 2024/2509 II pielikumā. Vienlaikus lūdzam atbilstoši precizēt arī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Ance Rudzīte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25-TA-279</w:t>
    </w:r>
    <w:r>
      <w:br/>
    </w:r>
    <w:r w:rsidR="00000000" w:rsidRPr="00000000" w:rsidDel="00000000">
      <w:rPr>
        <w:rtl w:val="0"/>
      </w:rPr>
      <w:t xml:space="preserve">Izdrukāts 07.02.2025. 19.19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25-TA-279</w:t>
    </w:r>
    <w:r>
      <w:br/>
    </w:r>
    <w:r w:rsidR="00000000" w:rsidRPr="00000000" w:rsidDel="00000000">
      <w:rPr>
        <w:rtl w:val="0"/>
      </w:rPr>
      <w:t xml:space="preserve">Izdrukāts 07.02.2025. 19.19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Atzinumi_25-TA-279.docx</dc:title>
</cp:coreProperties>
</file>

<file path=docProps/custom.xml><?xml version="1.0" encoding="utf-8"?>
<Properties xmlns="http://schemas.openxmlformats.org/officeDocument/2006/custom-properties" xmlns:vt="http://schemas.openxmlformats.org/officeDocument/2006/docPropsVTypes"/>
</file>