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20. februāra noteikumos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2.1.3.3.pasākuma 3.kārtas mērķis ir īstenot Ugunsdrošības un civilās aizsardzības koledžas ēku kompleksa 1. kārtas būvniecību, lūdzam svītrot anotācijā iekļauto informāciju, ka Ugunsdrošības un civilās aizsardzības koledžas ēku kompleksa  2.kārtas iekļaušanu projektēšanas uzdevumā, ņemot vērā, ka tās ir papildus izmaksas, kas nav tieši saistītas ar 2.1.3.3. pasākuma 3.kārtas noteikumos noteikto mērķi un attiecīgi nebūtu attiecināmas no šī projekta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trešās kārtas plānotais finansējums ir 57 948 917 euro (no tā elastības finansējums – 10 223 230 euro), tai skaitā Eiropas Reģionālās attīstības fonda finansējums – 49 256 579 euro (no tā elastības finansējums – 8 689 746 euro) un valsts budžeta līdzfinansējums – 8 692 338 euro (no tā elastības finansējums – 1 533 484 euro), nodrošinot, ka Eiropas Reģionālās attīstības fonda atbalsta intensitāte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vai noteikumu projektu, skaidri norādot  2.1.3.3.pasākuma 3.kārtai pieejamo finansējumu, par kuru ir izsludināma atlase un slēdzami līgumi, kamēr nav pieejams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atlasei pieejamais finansējuma apmērs ir mazāks, nekā finansējums, kas bija pieejams līdz grozījumiem un par ko jau ir izsludināta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arī anotācijā iekļaut informāciju, ka ņemot vērā visa 2.1.3.3. pasākuma elastības finansējuma iekļaušanu  2.1.3.3. pasākuma 3.kārtā, samazinās faktiski atlasē pieejamais finansējumus un paredzēt plānoto rīcību, proti, nepieciešams veikt grozījumus atlases nolikumā un izsludināt jaunu atlasi. Tāpat lūdzam sniegt izvērtējumu, kā finansējuma izmaiņas ietekmēs iesniegtos projektus, tai skaitā, ņemot vērā neprecīzi norādīto informāciju, aicinām pašreizējās situācijas sadaļā veikt precizējumus, izsakot teksta daļu jaunā redakcijā: " [..] Uz noteikumu projekta sagatavošanas brīdi projekta Nr. 2.1.3.3/3/24/I/001 "Ugunsdrošības un civilās aizsardzības koledžas profesionālās izglītības iestādes kompleksa būvniecības 1. kārta" projekta iesniegums jau apstiprināts ar nosacījumiem, taču ņemot vērā projekta finansējuma un apjoma izmaiņas, tas tiks 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 sadaļu “Pašreizējā situācija, problēmas un risinājumi”, kurā norādīts plānotais finansējums 2.1.3.3. pasākumā kārtu dalījumā, atspoguļot elastības finansējumu, kā arī salāgot norādīto finansējumu 3.sadaļā “Tiesību akta projekta ietekme uz valsts budžetu un pašvaldību budžetiem” pa gadiem, lai tas sakristu ar kopējo 2.1.3.3. pasākuma finansējumu (saskaitot pasākumu kopējo finansējumu pa gadiem veidojas 1 euro nesakritība).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projektā "Ugunsdrošības un civilās aizsardzības koledžas profesionālās izglītības iestādes kompleksa būvniecības 1. kārta, Drošības klašu izveide" – vienas ēkas būvniecība efektīvu, modernu un starptautiskajā pieredzē balstītu teorētisko un praktisko nodarbību un apmācību procesa nodrošināšanai, teritorijas labiekārtošanas darbi, ēku telpu pārbūve un pielāgošana stacionāru drošības klašu izveidei, transportlīdzekļu pārveidošana un aprīkošana pārvietojamu drošības klašu izveidei, prevencijas darba nodrošināšana sabiedrības izglītošanai, zīmola un informatīvi izglītojošo materiālu izstrāde. Tāpat projekta ietvaros ir atbalstāma esošo ēku nojaukšanas, projektēšanas, atkritumu utilizācijas darbi un pārcelšanās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17.1.apakšpunktā, kā arī citviet noteikumos un anotācijā  norādītās "pārcelšanās izmaksas", ņemot vērā, ka projektu mērķis ir uzbūvēt jaunas ēkas un izveidot Drošības klases, savukārt pārcelšanās izdevumi nav kapitālie izdevumi, attiecīgi nav ieskaitāmi projektā radīto pamatlīdzekļu vērtībā. Kā arī pārcelšanās izdevumi radīsies pēc objektu nodošanas ekspluatācijā un projektā plānoto darbību pabeigšanas. Vienlaikus norādām, ka atkritumu utilizācija jau iekļaujas zem ēku nojaukšanas darbībām un izmaksām, attiecīgi aicinām svītrot to kā atsevišķus darbus un izmaksas. Papildus lūdzam papildināt anotāciju ar izvērtējumu, kā noteikumu projekta 17.1. un 17.2. apakšpunktos papildus iekļautās atbalstāmās darbības veicinās pasākuma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problēmas aprakstu anotācijā papildināt ar informāciju/pamatojumu, par to, kādam nolūkam remontu bāzes kompleksā ir atbalstāmas un tiks izmantotas dienesta viesnīcas un dzīvokļu telpas.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kopumā anotācijas sadaļā "Risinājuma apraksts" aicinām nedublēt noteikumu projekta grozītos punktus, bet norādīt pēc būtības veicamos grozījumus un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ka paralēli noteikumu projekta izstrādei, tiek izstrādāti grozījumi Eiropas Savienības kohēzijas programmā 2021.–2027.gadam, t.sk. rosinot grozīt rādītājus, kā arī papildināt ar informāciju par Iekšlietu ministrijas rīcību gadījumā, ja Eiropas Komisija neatbalstīs piedāvātās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to, kā ir nodrošināta Nodrošinājuma valsts aģentūras kā potenciālā finansējuma saņēmēja atbilstība kritērijiem, pēc kuriem Valsts ugunsdzēsības un glābšanas dienests tika izvēlēts kā projekta iesniedzējs (potenciālais finansējuma saņēmējs) projekta "Drošības klašu izveide"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 investīcijas jaunās vai jauninātās katastrofu monitoringa, gatavības, brīdinājuma un reaģēšanas sistēmās attiecībā uz dabas katastrofām sasniedz 57 945 917 </w:t>
            </w:r>
            <w:r w:rsidR="00000000" w:rsidRPr="00000000" w:rsidDel="00000000">
              <w:rPr>
                <w:i w:val="1"/>
                <w:rtl w:val="0"/>
              </w:rPr>
              <w:t xml:space="preserve">euro</w:t>
            </w:r>
            <w:r w:rsidR="00000000" w:rsidRPr="00000000" w:rsidDel="00000000">
              <w:rPr>
                <w:rtl w:val="0"/>
              </w:rPr>
              <w:t xml:space="preserve">, iznākuma rādītāja starpposma vērtība 2024. gada 31.decembrī sasniedz 15 988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vadības izmaksas paredzētas kā netiešās izmaksas, piemērojot vienoto izmaksu likmi 1 procenta apmērā no projektu pārējām tiešajām attiecināmajām izmaksām, </w:t>
            </w:r>
            <w:r w:rsidR="00000000" w:rsidRPr="00000000" w:rsidDel="00000000">
              <w:rPr>
                <w:b w:val="1"/>
                <w:u w:val="single"/>
                <w:rtl w:val="0"/>
              </w:rPr>
              <w:t xml:space="preserve">lūdzam izvērtēt</w:t>
            </w:r>
            <w:r w:rsidR="00000000" w:rsidRPr="00000000" w:rsidDel="00000000">
              <w:rPr>
                <w:rtl w:val="0"/>
              </w:rPr>
              <w:t xml:space="preserve">, vai būs iespējams sasniegt plānoto starpposma rādītāju līdz 2024. gada 31. decembrim, jo nebūs radušās tiešās izmaksas, kurām piemērot vienoto izmaksu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projekta iesniegumi tiks iesniegti un apstiprināti tikai 2025. gadā, šo starpposma rādītāju nevarēs sasniegt, jo maksājuma pieprasījumi netiks iesniegti 2024.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Streipa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17.punktā minētās darbības tiek veiktas, finansējuma saņēmējam un sadarbības partnerim izvēloties preču piegādātājus un pakalpojumu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noteikumu 23.punkta redakciju atstājot sadaļu par zaļā publiskā iepirkuma un sociāli atbildīga un inovatīva iepirkuma izmantošanu, vai sniegt pamatojumu par šīm izmaiņām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24-TA-2513</w:t>
    </w:r>
    <w:r>
      <w:br/>
    </w:r>
    <w:r w:rsidR="00000000" w:rsidRPr="00000000" w:rsidDel="00000000">
      <w:rPr>
        <w:rtl w:val="0"/>
      </w:rPr>
      <w:t xml:space="preserve">Izdrukāts 20.12.2024. 20.04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24-TA-2513</w:t>
    </w:r>
    <w:r>
      <w:br/>
    </w:r>
    <w:r w:rsidR="00000000" w:rsidRPr="00000000" w:rsidDel="00000000">
      <w:rPr>
        <w:rtl w:val="0"/>
      </w:rPr>
      <w:t xml:space="preserve">Izdrukāts 20.12.2024. 20.04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Atzinumi_24-TA-2513.docx</dc:title>
</cp:coreProperties>
</file>

<file path=docProps/custom.xml><?xml version="1.0" encoding="utf-8"?>
<Properties xmlns="http://schemas.openxmlformats.org/officeDocument/2006/custom-properties" xmlns:vt="http://schemas.openxmlformats.org/officeDocument/2006/docPropsVTypes"/>
</file>