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Pašvaldības informatīvā izdevuma vizuālā noformējuma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 vai likumā “Par Latvijas valsts ģerboni” noteiktajos gadījumos – mazo valsts ģerboni (turpmāk – ģerbonis);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svītrot vārdus "noteiktajos gadījumos", jo likuma “Par Latvijas valsts ģerboni” 7. pants paredz tikai vienu gadījumu, proti, ka mazo valsts ģerboni ir tiesīgas lietot tās pašvaldības, kurām nav sava apstiprināta ģerboņa.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izziņas 1.punktā sniegto informāciju par veikto izpēti jautājumā par pašvaldību ģerboņu izmantošanu atspoguļot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19.04.2023.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19.04.2023.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Atzinumi_23-TA-594.docx</dc:title>
</cp:coreProperties>
</file>

<file path=docProps/custom.xml><?xml version="1.0" encoding="utf-8"?>
<Properties xmlns="http://schemas.openxmlformats.org/officeDocument/2006/custom-properties" xmlns:vt="http://schemas.openxmlformats.org/officeDocument/2006/docPropsVTypes"/>
</file>