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"Akvakultūra, kas nodrošina vides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12.01.2023.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12.01.2023.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