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(turpmāk - 2.3.1.4.i. investīcija) īstenošanas un uzraudzības kārtību,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ņemot vēra, ka attiecīgie MK noteikumi nenosaka 2.3.1.4.i. investīcijas īstenošanas un uzraudzības kārtību kopumā, bet investīcijas daļas īstenošanas un uzraudzības kārtību. 2.3.1.4.i. investīcijas īstenošanas kārtība noteikta 2.3.1.4.i. investīcijas informatīvajā ziņojumā (2023.gada 4.jūlija 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Aicinām arī anotācijā papildināt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(turpmāk - 2.3.1.4.i. investīcija) īstenošanas un uzraudzības kārtību,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Atveseļošanas fonda ieviešanā iesaistīto institūciju tiesības pieprasīt un saņemt tiešu pieeju datiem valsts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apakšpunktu, aizstājot vārdus "Atveseļošanas fonda" ar skaitļiem un vārdu "2.3.1.4.i. investīcijas". Vēršam uzmanību, ka minētais regulējums ir pārāk plašs un aptver visas institūcijas, kas nodrošina Atveseļošanas fonda ietvaros noteikto investīciju ieviešanu, ne tikai šīs konkrētās. Papildus vēršam uzmanību, ka tālāk noteikumu projektā nav atrunāts, kādam mērķim un no kādām valsts informācijas sistēmām tiek piešķirtas tiesības pieprasīt un saņemt pieeju datiem, attiecīgi lūdzam atbilstoši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programma –  ministriju, valsts pārvaldes iestāžu vai pašvaldību  finansētās izglītības programmas un izglītības pakalpojumi, kur piešķirams publiskais 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ministrijas saskaņā ar Valsts pārvaldes iekārtas likumu ir tiešās valsts pārvaldes iestādes. Lūdzam izvērtēt un precizēt noteikumu projekta 2.7.apakšpunktu, ja attiecināms, atbilstoši Valsts pārvaldes iekārtas likumam. Vienlaikus aicinām izvērtēt, ja tiek saglabāts uzsvars uz ministrijām, vai nav nepieciešams papildināt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atbalsta persona –  pilnvarota atbalsta programmas nodrošinātāja nodarbinātā persona, kura sniedz atbalstu personai tai reģistrējoties un izveidojot individuālā mācību kontu platformā, kā arī personai piesakoties individuālo mācību kontu pieejas aprobācijas ietvaros finansētā izglītības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2.11.apakšpunktā vārdus "atbalsta programmas nodrošinātāja" ar vārdiem "finansējuma saņēmēja", ņemot vēra veiktos precizējums noteikumu projekta 2.6.apakšpunktā. Attiecīgu precizējumu lūdzam veikt visā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2.3.1.4.i. investīcijas mērķis ir līdz 2026. gada 31. maijam attīstīt un aprobēt Latvijas kontekstam atbilstošu individuālo mācību kontu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2.3.1.4.i. investīcijas informatīvajā ziņojumā noteikts plašāks 2.3.1.4.i. investīcijas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2.3.1.4.i. investīcijas finansējuma saņēmējs ir Valsts izglītības attīstības aģentūra (turpmāk – finansējuma saņēmējs). 2.3.1.4.investīcijas sadarbības partneris ir Izglītības un zinātnes ministrija. 2.3.1.4.i investīcijas atbalstāmās darbības “Individuālā mācību konta pieejas aprobācija  - atbalsta nodrošināšana digitālo prasmju mācībām un saistītajiem pakalpojumiem klātienē un attālinātu mācību formā” sadarbības partneri ir izglītības iestādes, kas ir akreditētas un īsteno licencētas profesionālās izglītības programmas atbilstoši izglītības iestādes un izglītības programmu akreditāciju reglamentējošiem normatīvajiem aktiem vai īsteno akreditēta studiju virziena licencētu studiju programmas atbilstoši izglītības iestādes un studiju virzienu akreditāciju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29. punktam 2.3.1.4.i. investīcijas sadarbības partneris ir Izglītības un zinātnes ministrija. Vēršam uzmanību, ka atbilstoši juridiskās tehnikas prasībām tiesību normai ir jābūt skaidrai, lai tās lietotājs un piemērotājs gūtu nepārprotamu priekšstatu par normā ietvertajiem pienākumiem un tiesībām. Ievērojot minēto, atkārtoti lūdzam skaidrot, vai izglītības iestādes ir uzskatāmas par sadarbības partneriem Eiropas Savienības fondu izpratnē - esošā punkta redakcija ir pretrunā ar saskaņošanas sanāksmē skaidroto.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18.4.2.1. vieglā transportlīdzekļa ceļa izdevumu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18.4.2.1. apakšpunktu aiz vārda "piemērojot" ar vārdiem "Finanšu ministrijas metodikā" un aiz vārda un noslēdzošajām pēdiņām "īstenošanai"" ar vārdiem "ietvertos nosacījumus". Vēršam uzmanību, ka minētā metodika nav tiešā veidā attiecināma uz Atveseļošanas un noturības mehānismu. Lūdzam precizējumu veikt visā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nodrošina normatīvajos aktos par Atveseļošanas fonda plāna īstenošanu un uzraudzības kārtību noteiktā finansējuma saņēmēja pienākuma izpildi attiecībā uz informācijas ievadi vadības informācijas sistēmā Atveseļošanas fonda plāna īstenošanas progresa pusgada ziņojuma un maksājuma pieprasījuma sagatavošanai, datus uzkrāj un ievada vadības informācijas sistēmā divas reizes gadā atbilstoši  finansējuma saņēmēja un  Centrālās finanšu un līgumu aģentūras vienošanās par projekta īstenošanu paredzētajam par projekta īstenošanu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19.4. apakšpunktā vārdus "vadības informācijas sistēmā" ar vārdiem "Kohēzijas politikas fondu vadības informācijas sistēmā (turpmāk - vadības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noslēdz sadarbības līgumu ar izglītības iestādi, kas atbilst šo noteikumu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noteiktajām prasībām uz termiņu līdz 2026. gada 31. maijam, piešķirot tai izglītības pakalpojumu sniedzēja statusu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saskaņošanas sanāksmē pārrunātajam tika svītrots vārds "sadarbības" pirms vārda "līguma" visos noteikumu projekta punktos, kur tas attiecas uz izglītības iestādēm, lūdzam izvērtēt, vai arī noteikumu projekta 52.2. apakšpunktā nav svītrojams vārds "sadarbības".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Pievienotās vērtības nodokli sedz no valsts budžeta līdzekļiem šo noteikumu minētajām finansējuma saņēmēja un tā sadarbības partnera - Izglītības un zinātnes ministrijas attiecināmajām izmaksām. Pievienotās vērtības nodokli finansējuma saņēmējs un tā sadarbības partneris sedz no valsts budžeta līdzekļiem tikai tādā gadījumā, ja finansējuma saņēmējs un tā sadarbības partneris nevar atgūt pievienotās vērtības nodokli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2022.gada 22.marta sēdes protokollēmumā (prot. Nr. 17 34. § 9. punkts) noteikts, ka </w:t>
            </w:r>
            <w:r w:rsidR="00000000" w:rsidRPr="00000000" w:rsidDel="00000000">
              <w:rPr>
                <w:i w:val="1"/>
                <w:rtl w:val="0"/>
              </w:rPr>
              <w:t xml:space="preserve">nozaru ministrijas un Valsts kanceleja, izstrādājot Atveseļošanas fonda plāna Ministru kabineta noteikumus vai informatīvo ziņojumu par reformu vai investīciju ieviešanu (un nepieciešamības gadījumā konsultējoties ar Valsts ieņēmumu dienestu), attiecībā uz pievienotās vērtības nodokļa (turpmāk – PVN) finansēšanu, ievēro šādus nosacījumus:</w:t>
            </w:r>
            <w:r w:rsidR="00000000" w:rsidRPr="00000000" w:rsidDel="00000000">
              <w:rPr>
                <w:i w:val="1"/>
                <w:rtl w:val="0"/>
              </w:rPr>
              <w:t xml:space="preserve">9.1. valsts budžeta iestādes PVN sedz no valsts budžeta līdzekļiem;</w:t>
            </w:r>
            <w:r w:rsidR="00000000" w:rsidRPr="00000000" w:rsidDel="00000000">
              <w:rPr>
                <w:i w:val="1"/>
                <w:rtl w:val="0"/>
              </w:rPr>
              <w:t xml:space="preserve">9.2. tādas atvasinātas publiskās personas un kapitālsabiedrības kā valsts un pašvaldību ārstniecības iestādes (slimnīcas), plānošanas reģioni, augstskolas un zinātniskās institūcijas, ja PVN nevar atgūt, to sedz no valsts budžeta līdzekļiem;</w:t>
            </w:r>
            <w:r w:rsidR="00000000" w:rsidRPr="00000000" w:rsidDel="00000000">
              <w:rPr>
                <w:i w:val="1"/>
                <w:rtl w:val="0"/>
              </w:rPr>
              <w:t xml:space="preserve">9.3. ja biedrības un nodibinājumi (NVO) veic valsts deleģētu funkciju un PVN nevar atgūt, to sedz no valsts budžeta līdzekļiem;</w:t>
            </w:r>
            <w:r w:rsidR="00000000" w:rsidRPr="00000000" w:rsidDel="00000000">
              <w:rPr>
                <w:i w:val="1"/>
                <w:rtl w:val="0"/>
              </w:rPr>
              <w:t xml:space="preserve">9.4. pašvaldības, tostarp pašvaldību kapitālsabiedrības, finansējumu projekta ieviešanai, arī PVN segšanai, var aizņemties Valsts kasē;</w:t>
            </w:r>
            <w:r w:rsidR="00000000" w:rsidRPr="00000000" w:rsidDel="00000000">
              <w:rPr>
                <w:i w:val="1"/>
                <w:rtl w:val="0"/>
              </w:rPr>
              <w:t xml:space="preserve">9.5. komersanti PVN sedz no saviem privātajiem finanšu līdzekļiem vai cita piesaistīta finansējuma, kas nav Atveseļošanas fonda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pašreizējās noteikumu projekta redakcijas izriet, ka arī izglītības iestādes ir sadarbības partneri, lūdzam precizēt noteikumu projekta 64. punktu, lai būtu nepārprotami skaidrs, no kādiem avotiem tiek segtas PVN izmaksas, salāgojot ar minētajā Ministru kabineta sēdes protokollēmumā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tiek svītrota iepriekšējās noteikumu projekta redakcijas 4. nodaļa "Individuālo mācību kontu platformas izmantošana citu atbalsta programmu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apakšsadaļā "MK noteikumu projekta izveide" pievienot atrunu, ja no Eiropas Komisijas tiks saņemti iebildumi par MK noteikumu projektu, no IZM puses tiks nodrošināta grozījumu veikšana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anotācijas 1.3.sadaļā 10.lpp. ir domāts ar teikuma daļu "</w:t>
            </w:r>
            <w:r w:rsidR="00000000" w:rsidRPr="00000000" w:rsidDel="00000000">
              <w:rPr>
                <w:i w:val="1"/>
                <w:rtl w:val="0"/>
              </w:rPr>
              <w:t xml:space="preserve">Latvijas līgumā ar Eiropas Komisiju par Atveseļošanās fonda programmu</w:t>
            </w:r>
            <w:r w:rsidR="00000000" w:rsidRPr="00000000" w:rsidDel="00000000">
              <w:rPr>
                <w:rtl w:val="0"/>
              </w:rPr>
              <w:t xml:space="preserve">", lūgums pārskatīt redakciju un precizēt. Piedāvājam iekļaut atsauci uz Padomes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pamatojumu anotācijā, kādēļ finansējuma piešķiršana izglītības pakalpojumu sniedzējiem nav saistīta ar saimnieciskās darbības veikšanu vai nav kvalificējama kā komercdarbības atbalsts. Proti, vienas vienības izmaksu standarta likme piemērošanas metodikā būs atbilstoša vidējai tirgus cenai vai zemākai par to, tādējādi nesniedzot ekonomisku priekšrocību konkrētiem mācību pakalpojumu sniedzējiem, un līdz ar to atbalsts attiecīgi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2024.gada jūlijs, atkārtoti lūdzam anotācijas 3.sadaļas 3.kolonnā norādīt 2024.gadam plānotā finansējuma apmērus, attiecīgi precizējot pārējās kolonnās norādītās finansiālās vērtības atbilstoši likumā “Par valsts budžetu 2024.gadam un budžeta ietvaru 2024., 2025. un 2026. gadam” plānotajam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novērst pretrunu anotācijas 3.sadaļas “Tiesību akta projekta ietekme uz valsts budžet un pašvaldību budžetiem” 6.punktā attiecībā uz 2023.gadā faktiski izlietoto finansējumu pasākuma īstenošanai (otrais teikums veido pretrunu ar piekto teikumu no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2.3.1.4.i investīcijas ietvaros izveidotās prasmju pārvaldības platformas un individuālo mācību kontu pieejas ilgtspēju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 Izglītības un zinātnes ministrijai sadarbībā ar 2.3.1.4.i. investīcijas īstenotāju (Valsts izglītības attīstības aģentūru) līdz 2026.gada 31. martam sagatavot un izglītības un zinātnes ministrei normatīvajos aktos noteiktajā kārtībā iesniegt izskatīšanai Ministru kabinetā priekšlikumus par 2.3.1.4.i investīcijas ietvaros īstenoto darbību ilgtspēju, tai skaitā prasmju pārvaldības platformas funkcijām un pielietošanu, atbildību sadalījumu, tālāko attīstību, nepieciešamajiem resursiem un finansējuma avotiem, un tiesību aktu projektus, kas noteiks prasmju pārvaldības platformas darbību pēc 2026.gada 31.augusta.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protokollēmuma projekta 3.punktā paredzēto, lūdzam papildināt anotāciju ar informāciju, kā tiks risināts jautājums, ja tiks konstatēts, ka investīcijas ietvaros izveidotās prasmju pārvaldības platformas un individuālo mācību kontu pieejas ilgtspējas nodrošināšanai pēc projekta beigām būs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15.07.2024.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15.07.2024.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