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Ēdolei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Vides aizsardzības likumā (25-TA-1319)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“Vides aizsardzības likums” (grozījumi 25-TA-1319)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25-TA-1319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ir Orhūsas  konvencijas dalībvalsts, ar to Latvija uzņēmusies un garantē sabiedrībai tiesības uz efektīvu pieeju taisnīgumam vides jautājumos. Ja apstrīdēšanas process koncentrēts VVD iekšienē, sabiedrībai paliek tikai tiesvedība, kas ir dārgs un laikietilpīgs process. Tādējādi sabiedrībai ierobežo Satversmes 115. pantā noteiktās tiesības uz labvēlīgu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(atkritumu apsaimniekošanas uzraudzība, piesārņojuma kontrole, emisiju kvotas, IVN). Papildus funkciju pildīšana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Grozījumu pieņemšanas VVD ģenerāldirektors vienā personā pārskatīs apstrīdēšanas iesniegumus par pieņemtajiem VVD lēmumiem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atkritumu apsaimniekošanas atļaujām;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elektrisko un elektronisko iekārtu pārrobežu sūtījumiem;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dzīļu izmantošanas ierobežošanu vai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dzīļu izmantošanas licences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administratīvajiem pārkāpumiem zemes dzīļu izmantošanas jomā, kas ietvers arī pārkāpumus ogļūdeņražu meklēšanas, izpētes un ieguves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atbildīgās personas noteikšanu par izdarīto kaitējumu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nodarītā kaitējuma novēršanu, t.sk. par preventīvajiem, neatliekamajiem vai sanācijas pasākumiem kaitējuma videi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ekomarķējuma un vides vadības un audita sistēmas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procedūras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VVD izdotajiem vai atteiktajiem tehniskajiem noteikumiem vidi ietekmējošas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stratēģiskā ietekmes uz vidi novērtējuma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rūpniecisko avāriju riska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uzpildes staciju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Vides, ģeoloģijas un meteoroloģijas centra izdotajiem administratīvajiem aktiem, kas attiecas uz darbībā ar ķīmiskām vielām vai maisījumiem, tai skaitā biocīdiem;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Radiācijas drošības centra izdotajiem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 apsaimniekošanas likuma 13.panta otrajā daļā un 14.panta trešajā daļā minēto pasākumu noteikšanu, kā arī atļauju izsniegšanu vai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transformācijas (zemes lietošanas kategorijas maiņas) atļaujām īpaši aizsargājamās teritorijās (likuma "Par īpaši aizsargājamām dabas teritorijām"  38.1 panta grozījumi 25-TA-1883);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SEG atļaujas degvielas un kurināmā tirdzniecībai, t.sk. degvielas ilgtspējas ziņošana ES, monitorings un verifikācija.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Proti, pastāv bažas, ka neatgriezeniski lēmumi (piemēram, par VES poligoniem, rūpnīcām utml.) tiktu īstenoti bez objektīvas ārējas kontroles. Šobrīd jau novērojama KEM, it īpaši ministra vēlme, politiski ietekmēt iestāžu darbu, par to liecina Enerģētikas un vides aģentūras likvidācija, lai centralizētu varu un virzītu ekonomisko grupējumu intereses, tādēļ pastāv pamatotas bažas, ka VVD tiks pakļauts vēl lielākai  politiskajai vai komerciālajai ietekmei. Pakļaujot VVD spiedienam, tas, neapšaubāmi ietekmēs  visu vides jomu pārvaldību. Paredzams un visticamāk, ka grozījumi tieši tādēļ ir ierosināti, lai panāktu politiskās un komerciālās ietekmes pieaugumu, jo vieglāk ietekmēt vienu institūciju, vienu vadītāju nekā vairākas iestādes, kas ir kompetentas konkrētā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 – neatbilst jau minētajiem tiesību aktiem, kā arī starptautiskajām saistībām, kas noteiktas Direktīvā 2011/92/ES (EIA direktīva), tostarp 11. pants nosaka, ka  dalībvalstij jānodrošina pārskatīšanas procedūra tiesā vai citā neatkarīgā un objektīvā, ar likumu izveidotā iestādē, lai apstrīdētu lēmumu, darbību vai bezdarbības materiālo vai procesuālo likumību, uz ko attiecas šīs direktīvas noteikumi par sabiedrības līdzdalību. Ar grozījumiem faktiski panāk, ka sabiedrības līdzdalība konkrētajos jautājumos valsts pārvaldē vairs nav iespējama, jo vienīgais veids tiesību aizstāvēšanā būtu tikai tiesājoties.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Apstrīdēšanas mehānismu nedrīkst koncentrēt VVD – saglabāt Enerģētikas un vides aģentūru (vai radīt neatkarīgu institīciju), lai nostiprinātu tiesisko paļāvību, ko nodrošina esošajā apstrīdēšanas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Saglabāt institucionālo līdzsvaru, iesaistot vairākas profesionāli kompetentas iestādes vides aizsardzības uzraudzības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22.08.2025.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22.08.2025.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Atzinumi_25-TA-1319.docx</dc:title>
</cp:coreProperties>
</file>

<file path=docProps/custom.xml><?xml version="1.0" encoding="utf-8"?>
<Properties xmlns="http://schemas.openxmlformats.org/officeDocument/2006/custom-properties" xmlns:vt="http://schemas.openxmlformats.org/officeDocument/2006/docPropsVTypes"/>
</file>