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Sporta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nevar piekrist izziņā norādītajam pamatojumam, kādēļ priekšlikums nav ņemts vērā, proti, ka ex-post ietekmes izvērtējums nav nepieciešams, jo sporta nozare jau šobrīd tiek regulēta ar tiesību aktu. Šāds pamatojums nav uzskatāms par pietiekamu, jo nozares regulējuma esamība pati par sevi nevar kalpot par argumentu ietekmes izvērtējuma neveikšanai. Tieši pretēji — politikas instrumentu, tostarp normatīvo aktu, ex-post ietekmes izvērtēšanai būtu jābūt neatņemamai politikas veidošanas un īstenošanas cikla sastāvdaļai neatkarīgi no tā, vai konkrētajā nozarē regulējums jau pastāv.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Ex-post izvērtējuma mērķis ir pārliecināties, vai tiesību akts praksē sasniedz noteiktos mērķus un rada paredzēto pozitīvo ietekmi uz mērķa grupām, kā arī nodrošina pamatu pamatotu lēmumu pieņemšanai par tiesību akta turpmāku īstenošanu, pārskatīšanu vai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Valsts kanceleja norāda, ka atsevišķa likuma ex-post ietekmes izvērtējuma neveikšana var būt pamatota gadījumos, ja šī tiesību akta ietekmes izvērtēšana ir paredzēta citu sporta nozari regulējošu tiesību aktu vai politikas plānošanas dokumentu izvērtēšanas ietvaros, vai arī ja ir izveidots cits skaidri definēts uzraudzības un atskaitīšanās mehānisms, kas nodrošina līdzvērtīgu informāciju par tiesību akta īstenošanas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aicinām vēlreiz apsvērt iespēju veikt šī likuma ex-post ietekmes izvērtējumu vai, ja tas netiek plānots, izziņā skaidri un pamatoti norādīt argumentus, kas apliecina, ka likuma ietekmes izvērtēšana tiks nodrošināta citā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Valsts kanceleja plāno īstenot virkni pasākumu, lai veicinātu izpratni par ietekmes izvērtēšanas nozīmīgumu un stiprinātu institucionālo kapacitāti izvērtēšanas jautājumos, tādējādi sekmējot datos balstītu politikas veidošanu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23.01.2026. 16.07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23.01.2026. 16.07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Atzinumi_25-TA-312.docx</dc:title>
</cp:coreProperties>
</file>

<file path=docProps/custom.xml><?xml version="1.0" encoding="utf-8"?>
<Properties xmlns="http://schemas.openxmlformats.org/officeDocument/2006/custom-properties" xmlns:vt="http://schemas.openxmlformats.org/officeDocument/2006/docPropsVTypes"/>
</file>