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Cilvēkkapitāla attīstības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21.02.2023.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21.02.2023.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