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reģistrācijas un rindas organizēšanas valsts ārējās sauszemes robežas šķērsošanai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11.08.2025. atzinumā sniegtie iebildumi par anotācijas 3.sadaļas precizēšanu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pielikumā ir sniegta informācija par maksas pakalpojuma izcenojuma aprēķinu, bet tajā nav sniegta informācija par sagaidāmo ieņēmumu apmēru, ko ATD iegūs no maksas par reģistrāciju elektroniskajā rindas rezervācijas sistēmā. Ja ņem vērā anotācijas pielikumā norādīto pakalpojuma apmēru 136 911 un noteikto pakalpojuma maksu 9,30 euro, tad varētu secināt, ka potenciālie ieņēmumi veidotu 1 273 272 euro apmēru, kas veido lielāku apmēru nekā anotācijas 3.sadaļas punktā “Cita informācija” norādītās plānotās sistēmas uzturēšanas izmaksas, un tādā gadījumā nav saprotams, kāpēc joprojām kā aktuāls tiek norādīts risinājums, ka pēc projekta “Robežšķērsošanas risinājumu pirmās kārtas īstenošana” pabeigšanas finansējums uzturēšanai būtu jāpieprasa no programmas “Apropriācijas rezerve”, nevis paredzot, ka arī to izmaksu daļu būtu iespējams nosegt no gūtiem ieņēmumiem par pakalpojumam piemērojamo maksu. Attiecīgi atkārtoti lūdzam pārskatīt un precizēt, norādot skaidru aktuālo informāciju par plānotiem ieņēmumiem no maksas par pakalpojumu un sistēmas uzturēšanas izmaksu apmēriem un to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anotācijas 3.sadaļas punktā “Cita informācija” norādīto informāciju par uzturēšanas izmaksām, jo šobrīd tiek sniegta pretrunīga informācija par tām, proti, ir norādīti izmaksu apmēru, kas bija minēti Ministru kabineta 23.07.2024. sēdes lēmumā (protokola Nr. 30 57. § 10.punkts) līdz 642 000 euro gadā ik gadu, kurus veido 242 000 euro elektroniskās rindas rezervācijas sistēmas programmatūras uzturēšanai un 400 000 euro risinājuma darbības nodrošināšanai nepieciešamās infrastruktūras un iekārtu uzturēšanai, un vienlaikus tiek sniegta informācija, ka nepieciešamie resursi programmatūras uzturēšanai prognozējoši ir 169 592 euro gadā Elektroniskās rindas rezervācijas sistēmas programmatūras un vietnes (t.sk. testa vides) pilna cikla uzturēšanai un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informāciju anotācijas 3.sadaļas punktā “Cita informācija”, kas norādīta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netiek īstenots Vientuļu un Silenes robežšķērsošanas vietās. Lēmumu par minēto robežšķērsošanas vietu iekļaušanu projekta otrajā posmā lemt pēc projekta pirmās kārtas realizācijas izvērtēšanas un atkarībā no Ministru kabineta pieņemtā lēmuma par robežšķērsošanas vietu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pareizi noformēt punkta sākuma daļu, jo šobrīd tas sākas ar vārdu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