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24-TA-2371: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Finanšu tirgus digitālās darbības noturības un mākslīgā intelekta izmantošanas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8. panta piekto un sesto daļu, 10. panta otro un trešo daļu, 11. panta otro daļu un 12. panta pirmo, otro, trešo un ceturto daļu piemēro no 2025. gada 2. augusta.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un precizēt likumprojektu vai arī skaidrot, kādēļ likumprojekta pārejas noteikumā ietverta atsauce uz 10. panta </w:t>
            </w:r>
            <w:r w:rsidR="00000000" w:rsidRPr="00000000" w:rsidDel="00000000">
              <w:rPr>
                <w:u w:val="single"/>
                <w:rtl w:val="0"/>
              </w:rPr>
              <w:t xml:space="preserve">otro</w:t>
            </w:r>
            <w:r w:rsidR="00000000" w:rsidRPr="00000000" w:rsidDel="00000000">
              <w:rPr>
                <w:rtl w:val="0"/>
              </w:rPr>
              <w:t xml:space="preserve"> daļu, kurā ietverta atsauce uz Eiropas Parlamenta un Padomes 2022. gada 14. decembra </w:t>
            </w:r>
            <w:r w:rsidR="00000000" w:rsidRPr="00000000" w:rsidDel="00000000">
              <w:rPr>
                <w:u w:val="single"/>
                <w:rtl w:val="0"/>
              </w:rPr>
              <w:t xml:space="preserve">Regulas (ES) 2022/2554</w:t>
            </w:r>
            <w:r w:rsidR="00000000" w:rsidRPr="00000000" w:rsidDel="00000000">
              <w:rPr>
                <w:rtl w:val="0"/>
              </w:rPr>
              <w:t xml:space="preserve"> par finanšu nozares digitālās darbības noturību un ar ko groza Regulas (EK) Nr. 1060/2009, (ES) Nr. 648/2012, (ES) Nr. 600/2014, (ES) Nr. 909/2014 un (ES) 2016/1011 vienību. Atgādinām, ka minētā regula ir piemērojama no 2025. gada 17. janvāra (sk. regulas 64.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pārliecināties, ka pārejas noteikums kopumā ir pilnīgs un korekts, ņemot vērā Eiropas Parlamenta un Padomes 2024. gada 13. jūnija </w:t>
            </w:r>
            <w:r w:rsidR="00000000" w:rsidRPr="00000000" w:rsidDel="00000000">
              <w:rPr>
                <w:u w:val="single"/>
                <w:rtl w:val="0"/>
              </w:rPr>
              <w:t xml:space="preserve">Regulas (ES) 2024/1689</w:t>
            </w:r>
            <w:r w:rsidR="00000000" w:rsidRPr="00000000" w:rsidDel="00000000">
              <w:rPr>
                <w:rtl w:val="0"/>
              </w:rPr>
              <w:t xml:space="preserve">, ar ko nosaka saskaņotas normas mākslīgā intelekta jomā un groza Regulas (EK) Nr. 300/2008, (ES) Nr. 167/2013, (ES) Nr. 168/2013, (ES) 2018/858, (ES) 2018/1139 un (ES) 2019/2144 un Direktīvas 2014/90/ES, (ES) 2016/797 un (ES) 2020/1828 113. pantu, kas noteic, ka regulu piemēro no 2026. gada 2. augusta, kā arī noteic izņēmumus par regulas atsevišķu prasību ātrāku vai vēlāku piemērošanu. Ja nepieciešams, aicinām papildināt vai precizēt pārejas noteikumu, kā arī attiecīgi anotācijā sniegt pārejas noteikuma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24-TA-2371</w:t>
    </w:r>
    <w:r>
      <w:br/>
    </w:r>
    <w:r w:rsidR="00000000" w:rsidRPr="00000000" w:rsidDel="00000000">
      <w:rPr>
        <w:rtl w:val="0"/>
      </w:rPr>
      <w:t xml:space="preserve">Izdrukāts 17.03.2025.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24-TA-2371</w:t>
    </w:r>
    <w:r>
      <w:br/>
    </w:r>
    <w:r w:rsidR="00000000" w:rsidRPr="00000000" w:rsidDel="00000000">
      <w:rPr>
        <w:rtl w:val="0"/>
      </w:rPr>
      <w:t xml:space="preserve">Izdrukāts 17.03.2025.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Atzinumi_24-TA-2371.docx</dc:title>
</cp:coreProperties>
</file>

<file path=docProps/custom.xml><?xml version="1.0" encoding="utf-8"?>
<Properties xmlns="http://schemas.openxmlformats.org/officeDocument/2006/custom-properties" xmlns:vt="http://schemas.openxmlformats.org/officeDocument/2006/docPropsVTypes"/>
</file>