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minētais projekta iesniedzējs iesniedz vienu vai vairākus projektus, ievērojot, ka projektos paredzētais Eiropas Reģionālās attīstības fonda finansējums nepārsniedz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kabineta rīkojumā norādīto finansējumu un projektos plānotā iznākuma rādītāja vērtība nav mazāka kā Ministru kabineta rīkojumā norādītā iznākuma rādītāja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ierosinām paredzēt, ka projekta iesniedzējs iesniedz vienu projektu, vai anotācijā sniegt papildus informāciju par gadījumiem, kad viens projekta iesniedzējs iesniedz vairākus projektus. Papildus ierosinām izvērtēt nepieciešamību Ministru kabineta noteikumos paredzēt sadarbības partnera piesaistes iespēju projekta īstenošanā, ņemot vērā plānotajā Ministru kabineta rīkojuma pielikumā iekļauto aprīkojamo objektu (patvertņu) sarakstu un šo objektu īpašumtiesības, attiecīgi salāgojot šo noteikumu 41.punkta, kas regulē ieguldījumu objektu īpašumtiesības,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Laula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autoruzraudzības un būvuzraudzības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vadošās iestādes vadlīnijās Nr. 1.2 “Vadlīnijas attiecināmo izmaksu noteikšanai Eiropas Savienības kohēzijas politikas programmas 2021.-2027.gada plānošanas periodā” (turpmāk – vadlīnijas) ierosinātie grozījumi, kas paredz tai skaitā autoruzraudzības un būvuzraudzības izmaksu ierobežojumu svītrošanu, pašlaik ir saskaņošanas procesā un gala versija vēl nav apstiprināta, līdz ar to aicinām ņemt vērā, ka tajā vēl iespējamas izmaiņas, t.sk. tādas, kas varētu ietekmēt arī šo noteikumu projektu un tajā ietvertos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var tikt virzīts apstiprināšanai Ministru kabinetā (turpmāk – MK) pirms vadlīniju apstiprināšanas, aicinām anotāciju papildināt ar a) pamatojumu atkāpei no spēkā esošajām vadlīnijām; b) informāciju, ka Atbildīgā iestāde vajadzības gadījumā vērtēs grozījumu nepieciešamību apstiprinātajos MK noteikumos balstoties uz vadlīniju versiju pēc grozījumiem, ievērojot visus tajā ietvertos nosacījumus, t.sk. pārvērtējot visas izmaksu pozīcijas, attiecināšanas nosacījumus un izmaiņu ietekmi uz jau īstenošanā esošajiem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Dokumentāciju par atbalsta piešķiršanu sadarbības iestāde glabā 10 gadus no pasākuma ietvaros pēdējā piešķirtā atbalsta, bet finansējuma saņēmējs – 10 gadus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29.punkts nosaka atbalsta sniegšanas nosacījumus, kas ir attiecināmi uz atbalsta sniedzēju, tad lūdzam papildināt noteikumu projekta tekstu ar uzraudzības nosacījumiem atbalsta pretendentam atbilstoši Komisijas regulas Nr.2023/2831 6.panta 1.punktam, izsakot to kā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29. punkts attiecināms uz atbalsta sniedzēju, tad aicinām nosacījumus par datu uzglabāšanu izteikt kā jaunu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atbalsta piešķiršana un uzskaite tiek veikta saskaņā ar normatīvajiem aktiem par de minimis atbalsta uzskaites un piešķiršanas kārtību. Atbalsta pretendents atbalsta pieteikumam pievieno De minimis atbalsta uzskaites sistēmā sagatavotās veidlapas par sniedzamo informāciju de minimis atbalsta uzskaitei un piešķiršanai izdruku vai  atbalsta pieteikumā norāda De minimis atbalsta uzskaites sistēmā aizpildītās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Aleksandra Anna Meinerte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papildu </w:t>
            </w:r>
            <w:r w:rsidR="00000000" w:rsidRPr="00000000" w:rsidDel="00000000">
              <w:rPr>
                <w:i w:val="1"/>
                <w:rtl w:val="0"/>
              </w:rPr>
              <w:t xml:space="preserve">de minimis</w:t>
            </w:r>
            <w:r w:rsidR="00000000" w:rsidRPr="00000000" w:rsidDel="00000000">
              <w:rPr>
                <w:rtl w:val="0"/>
              </w:rPr>
              <w:t xml:space="preserve"> atbalsts tiek piešķirts projekta īstenošanas laikā, par atbalsta piešķiršanas brīdi uzskata dienu, kad tiek parakstīti attiecīgie civiltiesiskā līguma vai vienošanās par projekta īstenošanu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31.punktu tā, lai saprotams atbalsta sniegšanas brīdis arī tad, ja jau pirms projekta īstenošanas finansējuma saņēmējs paredz veikt saimniecisko darbību patvertnē un atbalsta piešķiršanas brīdis nav nosakāms ar līguma vai vienošanās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Aleksandra Anna Meinerte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Ieguldījumus infrastruktūrā finansējuma saņēmējs var veikt savā īpašumā vai valdījumā esošā īpašumā, ja valdījuma tiesības ir iegūtas uz termiņu, kas nav īsāks par pieciem gadiem no dienas, kad veikts projekta noslēguma maksājums finansējuma saņēmējam. Īpašuma vai valdījuma tiesības ir nostiprinātas zemesgrāmatā vai arī īpašuma vai valdījuma tiesības nostiprina zemesgrāmatā līdz projekta noslēguma maksājuma veikšanai (izņemot gadījumu, ja pašvaldības īpašums uz normatīvā akta, līguma vai pašvaldības lēmuma pamata ir nodots pašvaldības iestādes – projekta iesniedzēja – pārvaldīšanā vai ja valsts īpašums uz pārvaldīšanas līguma pamata ir nodots tiešās pārvaldes iestādes – projekta iesniedzēja – pārvaldīšanā).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41.punkta otro teikumu, aicinām skaidrības nolūkos, papildināt noteikumu projekta anotāciju ar informāciju par izņēmuma gadījumiem, kad īpašuma vai valdījuma tiesības netiks nostiprinātas Zemesgrāmatā, tas ir, vai Zemesgrāmatā tiks veikta attiecīga atzīme par nekustamā īpašuma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projekta īstenošanai nepieciešamo būvdarbu un pakalpojumu iepirkumu veic saskaņā ar normatīvajiem aktiem publisko iepirkumu jomā, īstenojot atklātu, pārredzamu, nediskriminējošu un konkurenci nodrošinošu konkursa procedūru, un, kur tas ir attiecināms un atbilstošs ieguldījumu specifikai, īsteno sociāli atbildīgu iepirkumu, kā arī piemēro inovatīvā publiskā iepirkuma nosacījumus,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42.punkta redakciju, kas šobrīd paredz obligātu publiskā iepirkuma īstenošanu sociāli atbildīgā veidā, tāpat arī piemērot inovatīvā publiskā iepirkuma nosacījumus. Rosinām administratīvā sloga mazināšanas nolūkos apsvērt iespēju sociāli atbildīga un inovatīvā publiskā iepirkuma veikšanu projekta īstenotājam paredzēt kā izvēles iespēju, t.sk. ņemot vērā, ka no esošās redakcijas nav skaidri saprotams, kurās situācijās šo prasību piemērošana ir vai nav attiecināma.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projekta īstenošanai nepieciešamo būvdarbu un pakalpojumu iepirkumu veic saskaņā ar normatīvajiem aktiem publisko iepirkumu jomā, īstenojot atklātu, pārredzamu, nediskriminējošu un konkurenci nodrošinošu konkursa procedūru, un, kur tas ir attiecināms un atbilstošs ieguldījumu specifikai, var īstenot sociāli atbildīgu iepirkumu, kā arī piemērot inovatīvā publiskā iepirkuma nosacījumus,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saistītā MK rīkojuma projektā “Par civilās aizsardzības mērķiem pielāgojamajiem un aprīkojamajiem objektiem (patvertnēm) 5.1.1.9. pasākuma “Objektu (patvertņu) pielāgošana un aprīkošana civilās aizsardzības mērķiem” ietvaros” (tiesību akta lieta Nr. 25-TA-659) 1.pielikumā paredzēto Eiropas reģionālās attīstības fonda (turpmāk – ERAF) finansējumu apmēru objektiem, kuriem finansējuma saņēmējs ir valsts, lūdzam pārskatīt un precizēt anotācijas 3.sadaļā norādīto valsts un pašvaldību līdzfinansējuma apmēru (proti, ja objektiem, kuriem finansējuma saņēmējs ir valsts, ERAF finansējums plānots 4 556 097 euro, tad valsts budžeta līdzfinansējums būtu jānodrošina 804 017 euro apmērā, bet šobrīd anotācijas 3.sadaļā tas norādīts lielākā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3.sadaļas 6.punkta pēdējā teikumā pievienot norādi uz tiesību akta lietu Nr. 25-TA-659.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25.04.2025.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25.04.2025.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Atzinumi_25-TA-640.docx</dc:title>
</cp:coreProperties>
</file>

<file path=docProps/custom.xml><?xml version="1.0" encoding="utf-8"?>
<Properties xmlns="http://schemas.openxmlformats.org/officeDocument/2006/custom-properties" xmlns:vt="http://schemas.openxmlformats.org/officeDocument/2006/docPropsVTypes"/>
</file>