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Tiešo maksājumu piešķiršanas kārtība lauksaimniekiem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Atbilstoši </w:t>
            </w:r>
            <w:r w:rsidR="00000000" w:rsidRPr="00000000" w:rsidDel="00000000">
              <w:rPr>
                <w:rtl w:val="0"/>
              </w:rPr>
              <w:t xml:space="preserve">regulas 2021/2115 III pielikumā </w:t>
            </w:r>
            <w:r w:rsidR="00000000" w:rsidRPr="00000000" w:rsidDel="00000000">
              <w:rPr>
                <w:rtl w:val="0"/>
              </w:rPr>
              <w:t xml:space="preserve"> noteiktajam 6. LLVS standartam lauksaimnieks nodrošina, ka rudens un ziemas periodā no iepriekšējā gada 15. novembra līdz kārtējā gada 15. februārim īpaši (nitrātu) jutīgajās teritorijās (</w:t>
            </w:r>
            <w:r w:rsidR="00000000" w:rsidRPr="00000000" w:rsidDel="00000000">
              <w:rPr>
                <w:rtl w:val="0"/>
              </w:rPr>
              <w:t xml:space="preserve">9. </w:t>
            </w:r>
            <w:r w:rsidR="00000000" w:rsidRPr="00000000" w:rsidDel="00000000">
              <w:rPr>
                <w:rtl w:val="0"/>
              </w:rPr>
              <w:t xml:space="preserve">pielikums</w:t>
            </w:r>
            <w:r w:rsidR="00000000" w:rsidRPr="00000000" w:rsidDel="00000000">
              <w:rPr>
                <w:rtl w:val="0"/>
              </w:rPr>
              <w:t xml:space="preserve">) vismaz 65 procentos, Vidzemē un Latgalē (</w:t>
            </w:r>
            <w:r w:rsidR="00000000" w:rsidRPr="00000000" w:rsidDel="00000000">
              <w:rPr>
                <w:rtl w:val="0"/>
              </w:rPr>
              <w:t xml:space="preserve">10. </w:t>
            </w:r>
            <w:r w:rsidR="00000000" w:rsidRPr="00000000" w:rsidDel="00000000">
              <w:rPr>
                <w:rtl w:val="0"/>
              </w:rPr>
              <w:t xml:space="preserve">pielikums</w:t>
            </w:r>
            <w:r w:rsidR="00000000" w:rsidRPr="00000000" w:rsidDel="00000000">
              <w:rPr>
                <w:rtl w:val="0"/>
              </w:rPr>
              <w:t xml:space="preserve">) vismaz 55 procentos un pārējā Latvijas teritorijā (</w:t>
            </w:r>
            <w:r w:rsidR="00000000" w:rsidRPr="00000000" w:rsidDel="00000000">
              <w:rPr>
                <w:rtl w:val="0"/>
              </w:rPr>
              <w:t xml:space="preserve">11. </w:t>
            </w:r>
            <w:r w:rsidR="00000000" w:rsidRPr="00000000" w:rsidDel="00000000">
              <w:rPr>
                <w:rtl w:val="0"/>
              </w:rPr>
              <w:t xml:space="preserve">pielikums</w:t>
            </w:r>
            <w:r w:rsidR="00000000" w:rsidRPr="00000000" w:rsidDel="00000000">
              <w:rPr>
                <w:rtl w:val="0"/>
              </w:rPr>
              <w:t xml:space="preserve">) vismaz 60 procentos no saimniecības aramzemes un ilggadīgo stādījumu platības ir augsnes pārklājums, piemēram, sēti vai stādīti kultūraugi, zālaugi vai pēc kultūraugu novākšanas platība atstāta neapstrādāta.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Latvijas tiesību sistēmā nav piemērojamas tiesību normas ar atpakaļejošu spēku. Proti, Oficiālo publikāciju un tiesiskās informācijas likuma 9. panta ceturtā daļa noteic, ka normatīvajam aktam vai tā daļai nav atpakaļejoša spēka, izņemot likumā īpaši paredzētus gadījumus. Atkārtoti paužam bažas, ka dažas projekta normas paredz kādu prasību piemērošanu ar atpakaļejošu spēku, vismaz attiecībā uz 2023. gadu.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380. punkts paredz attiecīgu pienākumu lauksaimniekam no 2023. gada 1. janvāra līdz 15. martam. Šis periods jau ir pagājis; 2) projekta 66. punkts paredz, ka lauksaimnieks nodrošina noteiktas prasības no iepriekšējā gada 15. novembra līdz kārtējā gada 15. februārim; 3) projekta 86. punkts paredz, ka lauksaimniekam ir pienākums neveikt noteiktas darbības citstarp periodā no 15. marta līdz 31. jūlijam, kā arī no 1. aprīļa līdz 30. jūnijam. Daļa no minētā perioda jau ir pagājusi;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nepieciešams precizēt projektu, vai nu svītrojot attiecīgas normas (piemēram, projekta 380. punktu), vai nu ietverot attiecīgu pārejas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nosaka un piemēro tiešo maksājumu samazinājumu, samazinājuma likmes un atbalsta samazinājuma piemērošanas izņēmumus;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projekta 1. punktu, </w:t>
            </w:r>
            <w:r w:rsidR="00000000" w:rsidRPr="00000000" w:rsidDel="00000000">
              <w:rPr>
                <w:u w:val="single"/>
                <w:rtl w:val="0"/>
              </w:rPr>
              <w:t xml:space="preserve">pārrakstot</w:t>
            </w:r>
            <w:r w:rsidR="00000000" w:rsidRPr="00000000" w:rsidDel="00000000">
              <w:rPr>
                <w:rtl w:val="0"/>
              </w:rPr>
              <w:t xml:space="preserve"> likumā noteikto pilnvarojumu Ministru kabinetam atbilstoši Ministru kabineta 2009. gada 3. februāra noteikumu Nr. 108 "Normatīvo aktu projektu sagatavošanas noteikumi" (turpmāk - noteikumi Nr. 108) 100.2. apakšpunktam. Norādām uz nepilnībām salīdzinājumā ar likumā noteikto (piemēram, projekta 1.3. apakšpunktā nav norādes uz "samazinājumu </w:t>
            </w:r>
            <w:r w:rsidR="00000000" w:rsidRPr="00000000" w:rsidDel="00000000">
              <w:rPr>
                <w:u w:val="single"/>
                <w:rtl w:val="0"/>
              </w:rPr>
              <w:t xml:space="preserve">par tiešo maksājumu saņemšanas nosacījumu neizpildi</w:t>
            </w:r>
            <w:r w:rsidR="00000000" w:rsidRPr="00000000" w:rsidDel="00000000">
              <w:rPr>
                <w:rtl w:val="0"/>
              </w:rPr>
              <w:t xml:space="preserve">"). Saistībā ar minēto lūdzam arī skaidrot, vai projekta regulējums pilnībā atbilst likumā noteiktajam pilnvarojumam un nav par plašu - piemēram, projekta 50. punktā paredzēts, ka tiešo maksājumu samazinājumu piemēro par noteikumos minēto laba lauksaimniecības un vides stāvokļa standartu un noteikumu 8. pielikumā minēto prasību neizpildi, kas, šķiet, nav tas pats, kas tiešo maksājumu saņemšanas nosacījumu neizpilde. Attiecīgi lūdzam sniegt skaidrojumu vai precizēt projektu, nodrošinot atbilstību likumā noteiktajam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projekta 1.3. apakšpunktā konsekventi lietot iepriekš izveidoto saīsinājumu "tiešie maksājumi".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Tiešo maksājumu saņēmējs ievēro tās tiesību aktos noteiktās obligātās pārvaldības prasības, kas ietvertas šo noteikumu </w:t>
            </w:r>
            <w:r w:rsidR="00000000" w:rsidRPr="00000000" w:rsidDel="00000000">
              <w:rPr>
                <w:rtl w:val="0"/>
              </w:rPr>
              <w:t xml:space="preserve">8. </w:t>
            </w:r>
            <w:r w:rsidR="00000000" w:rsidRPr="00000000" w:rsidDel="00000000">
              <w:rPr>
                <w:rtl w:val="0"/>
              </w:rPr>
              <w:t xml:space="preserve">pielikumā</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projekta 49. punktā un citviet projektā ietvertā frāze "tās tiesību aktos noteiktās obligātās pārvaldības prasības" ir lieka un juridiskai tehnikai neatbilstoša, attiecīgi lūdzam to svītrot un tā vietā norādīt "prasības, kas ietvertas šo noteikumu 8. 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Ja lauksaimnieks neievēro kādu šajos noteikumos minēto LLVS standartu un šo noteikumu </w:t>
            </w:r>
            <w:r w:rsidR="00000000" w:rsidRPr="00000000" w:rsidDel="00000000">
              <w:rPr>
                <w:rtl w:val="0"/>
              </w:rPr>
              <w:t xml:space="preserve">8. </w:t>
            </w:r>
            <w:r w:rsidR="00000000" w:rsidRPr="00000000" w:rsidDel="00000000">
              <w:rPr>
                <w:rtl w:val="0"/>
              </w:rPr>
              <w:t xml:space="preserve">pielikumā</w:t>
            </w:r>
            <w:r w:rsidR="00000000" w:rsidRPr="00000000" w:rsidDel="00000000">
              <w:rPr>
                <w:rtl w:val="0"/>
              </w:rPr>
              <w:t xml:space="preserve"> minēto tiesību aktos noteikto pārvaldības prasību, tiešo maksājumu apmēru samazina atbilstoši šo noteikumu 15.10. apakšnodaļai.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50. punktā starp vārdiem "standartu" un "šo noteikumu 8. pielikumā [..]" saikļa "un" vietā, šķiet, nepieciešams saiklis "vai", ņemot vērā, ka samazinājuma piemērošanai pietiek ar vai nu kāda standarta, vai nu 8. pielikumā minēto prasību neievērošanu.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Tiešo maksājumu saņēmējs ievēro šo noteikumu </w:t>
            </w:r>
            <w:r w:rsidR="00000000" w:rsidRPr="00000000" w:rsidDel="00000000">
              <w:rPr>
                <w:rtl w:val="0"/>
              </w:rPr>
              <w:t xml:space="preserve">6.2.</w:t>
            </w:r>
            <w:r w:rsidR="00000000" w:rsidRPr="00000000" w:rsidDel="00000000">
              <w:rPr>
                <w:rtl w:val="0"/>
              </w:rPr>
              <w:t xml:space="preserve">, </w:t>
            </w:r>
            <w:r w:rsidR="00000000" w:rsidRPr="00000000" w:rsidDel="00000000">
              <w:rPr>
                <w:rtl w:val="0"/>
              </w:rPr>
              <w:t xml:space="preserve">6.3.</w:t>
            </w:r>
            <w:r w:rsidR="00000000" w:rsidRPr="00000000" w:rsidDel="00000000">
              <w:rPr>
                <w:rtl w:val="0"/>
              </w:rPr>
              <w:t xml:space="preserve">, </w:t>
            </w:r>
            <w:r w:rsidR="00000000" w:rsidRPr="00000000" w:rsidDel="00000000">
              <w:rPr>
                <w:rtl w:val="0"/>
              </w:rPr>
              <w:t xml:space="preserve">6.4.</w:t>
            </w:r>
            <w:r w:rsidR="00000000" w:rsidRPr="00000000" w:rsidDel="00000000">
              <w:rPr>
                <w:rtl w:val="0"/>
              </w:rPr>
              <w:t xml:space="preserve">, </w:t>
            </w:r>
            <w:r w:rsidR="00000000" w:rsidRPr="00000000" w:rsidDel="00000000">
              <w:rPr>
                <w:rtl w:val="0"/>
              </w:rPr>
              <w:t xml:space="preserve">6.5.</w:t>
            </w:r>
            <w:r w:rsidR="00000000" w:rsidRPr="00000000" w:rsidDel="00000000">
              <w:rPr>
                <w:rtl w:val="0"/>
              </w:rPr>
              <w:t xml:space="preserve">, </w:t>
            </w:r>
            <w:r w:rsidR="00000000" w:rsidRPr="00000000" w:rsidDel="00000000">
              <w:rPr>
                <w:rtl w:val="0"/>
              </w:rPr>
              <w:t xml:space="preserve">6.6.</w:t>
            </w:r>
            <w:r w:rsidR="00000000" w:rsidRPr="00000000" w:rsidDel="00000000">
              <w:rPr>
                <w:rtl w:val="0"/>
              </w:rPr>
              <w:t xml:space="preserve">, </w:t>
            </w:r>
            <w:r w:rsidR="00000000" w:rsidRPr="00000000" w:rsidDel="00000000">
              <w:rPr>
                <w:rtl w:val="0"/>
              </w:rPr>
              <w:t xml:space="preserve">6.7.</w:t>
            </w:r>
            <w:r w:rsidR="00000000" w:rsidRPr="00000000" w:rsidDel="00000000">
              <w:rPr>
                <w:rtl w:val="0"/>
              </w:rPr>
              <w:t xml:space="preserve">, </w:t>
            </w:r>
            <w:r w:rsidR="00000000" w:rsidRPr="00000000" w:rsidDel="00000000">
              <w:rPr>
                <w:rtl w:val="0"/>
              </w:rPr>
              <w:t xml:space="preserve">6.8.</w:t>
            </w:r>
            <w:r w:rsidR="00000000" w:rsidRPr="00000000" w:rsidDel="00000000">
              <w:rPr>
                <w:rtl w:val="0"/>
              </w:rPr>
              <w:t xml:space="preserve"> un </w:t>
            </w:r>
            <w:r w:rsidR="00000000" w:rsidRPr="00000000" w:rsidDel="00000000">
              <w:rPr>
                <w:rtl w:val="0"/>
              </w:rPr>
              <w:t xml:space="preserve">6.9. </w:t>
            </w:r>
            <w:r w:rsidR="00000000" w:rsidRPr="00000000" w:rsidDel="00000000">
              <w:rPr>
                <w:rtl w:val="0"/>
              </w:rPr>
              <w:t xml:space="preserve">apakšnodaļā</w:t>
            </w:r>
            <w:r w:rsidR="00000000" w:rsidRPr="00000000" w:rsidDel="00000000">
              <w:rPr>
                <w:rtl w:val="0"/>
              </w:rPr>
              <w:t xml:space="preserve"> noteiktos LLVS standartus lauksaimniecības zemē.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51. punkts sistēmiski novietojams pirms 50. punkta. Attiecīgi aicinām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Platība, kas ir atkārtoti pārveidota par ilggadīgo zālāju vai izveidota kā ilggadīgais zālājs, uzskatāma par ilggadīgo zālāju no pirmās atkārtotas pārveidošanas vai izveidošanas dienas. Šo platību izmanto, lai audzētu stiebrzāles vai citus lopbarības zālaugus vismaz piecus secīgus gadus pēc tās atkārtotas pārveidošanas vai, ja šo platību jau izmanto stiebrzāļu vai cita veida lopbarības zālaugu audzēšanai, tik gadus, cik atlikuši, līdz pieciem secīgiem gadiem pēc zālāja izveides 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projekta 56. punkts vismaz daļēji dublē regulas 2022/126 48. panta 5. punktu, turklāt atsauces svītrošana neatrisina normas dublēšanu pēc būtības. Norādām, ka saskaņā ar Līguma par Eiropas Savienības darbību 288.panta otro daļu „r</w:t>
            </w:r>
            <w:r w:rsidR="00000000" w:rsidRPr="00000000" w:rsidDel="00000000">
              <w:rPr>
                <w:i w:val="1"/>
                <w:rtl w:val="0"/>
              </w:rPr>
              <w:t xml:space="preserve">egulas ir vispārpiemērojamas. Tās uzliek saistības kopumā un ir tieši piemērojamas visās dalībvalstīs</w:t>
            </w:r>
            <w:r w:rsidR="00000000" w:rsidRPr="00000000" w:rsidDel="00000000">
              <w:rPr>
                <w:rtl w:val="0"/>
              </w:rPr>
              <w:t xml:space="preserve">.” Regulas ir aizliegts pārņemt nacionālajos tiesību aktos un tās automātiski kļūst par nacionālās tiesību sistēmas sastāvdaļu.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Tātad, dalībvalsts izstrādā tiesību aktus regulas piemērošanai tikai gadījumos, ja regulā ir tieši paredzēts dalībvalstij kāds konkrēts pienākums, piemēram, jānosaka kompetentā vai atbildīgā iestāde, jāparedz sankcijas vai sods par regulas normu pārkāpumiem. Eiropas Savienības Tiesa ir atzinusi, ka, ja regula prasa tās piemērošanai nodrošinošu nacionālā tiesību akta pieņemšanu, atsevišķos gadījumos tomēr var tikt pieļauta regulu teksta daļu inkorporēšana nacionālajos tiesību aktos (kā piemēru skatīt lietu Nr. 272/83 Komisija v. Itālija). Tomēr norādām, ka šis gadījums attaisnots vienīgi ar indivīdu interesēm saņemt tiem adresētu saskaņotu un labi uztveramu tiesību aktu, un regulu tiešā piemērojamība nepieļauj citus izņēmumus.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vai nu normu precizēt, nedublējot regulas normā noteikto, vai arī sniegt attiecīgu pamatojumu anotācijā. Līdzīgi lūdzam izvērtēt un nepieciešamības gadījumā precizēt arī citas projekta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61.2.1. ārpus īpaši aizsargājamām teritorijām, ja tiek izmantoti risinājumi, kas nepalielina siltumnīcefekta gāzu emisiju no augsnes, un meliorācijas objekti ir sedimentācijas baseini, divpakāpju meliorācijas grāvji, akmeņu krāvumi, meandrēšana, kontrolētā drenāža, mākslīgie mitrāji, koka šķeldas bioreaktori, piesātinātās buferjoslas vai šo elementu kombinācijas. Valsts sabiedrība ar ierobežotu atbildību "Zemkopības ministrijas nekustamie īpašumi" ir izsniegusi tehniskos noteikumus, lai īstenotu videi draudzīgus meliorācijas sistēmu elementu izbūvi;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projekta 61.2.1. apakšpunktā vārdus ""Valsts sabiedrība ar ierobežotu atbildību "Zemkopības ministrijas nekustamie īpašumi" ir izsniegusi tehniskos noteikumus", tā vietā ietverot norādi "ir izsniegti tehniskie noteikumi", ņemot vērā, ka to, kas izsniedz tehniskos noteikumus, jau noteic cits normatīvais akts (sk. Meliorācijas likuma 4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Ja pārbaudē saimniecībā konstatē deklarētā ainavas elementa neatbilstību prasībām, trūkstošo ar ražošanu nesaistītā ainavas elementa platības lielumu, lai nodrošinātu 8.1. LLVS standarta izpildi, var aizstāt ar citu platību, kas atbilst ar ražošanu nesaistīta ainavas elementa nosacījumiem. Šādā gadījumā koku vai krūmu puduri vai akmeņu kaudzes, dīķi, kā arī zeme zem dižkokiem, alejām un dižakmeņiem pārbaudes laikā ir identificējami un lauksaimnieks pierāda, ka attiecīgais ainavas elements atrodas tā īpašumā vai lietošanā.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82. punktā un citviet projektā ietvertas norādes uz "nosacījumiem", "prasībām" u.tml. Aicinām normu vieglākas piemērošanas nolūkā ietvert iekšējās atsauces, norādot uz projekta vienību vai vienībām, kur paredzēti attiecīgie nosacījumi. Nepieciešamības gadījumā lūdzam ietvert ārējās atsauces atbilstoši noteikumu Nr. 108 3.7. apakšnodaļai.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276. Platību uzraudzības (monitoringa) sistēmā saskaņā ar</w:t>
            </w:r>
            <w:r w:rsidR="00000000" w:rsidRPr="00000000" w:rsidDel="00000000">
              <w:rPr>
                <w:rtl w:val="0"/>
              </w:rPr>
              <w:t xml:space="preserve"> regulas 2022/1173 10. panta 9. punktu</w:t>
            </w:r>
            <w:r w:rsidR="00000000" w:rsidRPr="00000000" w:rsidDel="00000000">
              <w:rPr>
                <w:rtl w:val="0"/>
              </w:rPr>
              <w:t xml:space="preserve"> no 2023.gada ir iekļaujamas šādas intervences un to atbilstības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vārdus "no 2023. gada" projekta 276. punktā, tā kā tie norāda uz normas piemērošanu arī turpmāk un attiecīgi, šķiet, ir lieka. Aicinām arī konsekventi projektā lietot saīsinājumu "tiešie maksājumi" (nevis, piemēram, "intervences").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 Ja lauksaimnieks traucē pārbaudi saimniecībā, attiecīgā amatpersona to norāda kontroles ziņojumā un par lauksaimnieka ģeotelpisko iesniegumu tiek pieņemts nelabvēlīgs lēmums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paužam bažas, ka nav saprotams projekta 300. punkta tvērums, attiecīgi arī tā nepieciešamība. Proti, nav pilnīgi skaidrs, kas domāts ar vārdu "traucē", kā arī, vai tiešām katrs traucējums pēc būtības ietekmē pārbaudi tā, ka katra traucējuma rezultātā (uz ko norāda obligātā izteiksme "tiek pieņemts") būtu samērīgi pieņemt nelabvēlīgu lēmumu. Attiecīgi lūdzam izvērtēt un precizēt, kā arī aicinām vārdu "tiek pieņemts" vietā lietot vārdus "var pieņemt".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projekta 300., 305. punktā un citviet projektā lietotie vārdi "nelabvēlīgs lēmums", ņemot vērā kontekstu, ir pārāk plaši, jo nav skaidrs, vai var piemērot atbalsta samazinājumu vai atteikt piešķirt atbalstu. Attiecīgi lūdzam konkretizēt. Piemēram, ja ar attiecīgajiem vārdiem normā domāts lēmums par atteikumu piešķirt atbalstu, lūdzam tā arī konkrēti norādīt.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355. Ja gada laikā ģeotelpisko iesniegumu, par kuru ir konstatēta neatbilstība nosacījumu sistēmas pārvaldības prasībām vai standartiem, nodod citai personai, tad saskaņā ar </w:t>
            </w:r>
            <w:r w:rsidR="00000000" w:rsidRPr="00000000" w:rsidDel="00000000">
              <w:rPr>
                <w:rtl w:val="0"/>
              </w:rPr>
              <w:t xml:space="preserve">regulas 2021/2116 84. panta 2. punkta ''a'' apakšpunktu</w:t>
            </w:r>
            <w:r w:rsidR="00000000" w:rsidRPr="00000000" w:rsidDel="00000000">
              <w:rPr>
                <w:rtl w:val="0"/>
              </w:rPr>
              <w:t xml:space="preserve"> atbalsta samazinājums piemērojams personai, kuras rīcībā pārbaudes brīdī ir nodotā lauksaimniecības zeme vai saimniecība.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projekta 355. un 356. punktā ietvertā norāde uz personu, kurai piemērojams samazinājums (proti, persona, </w:t>
            </w:r>
            <w:r w:rsidR="00000000" w:rsidRPr="00000000" w:rsidDel="00000000">
              <w:rPr>
                <w:u w:val="single"/>
                <w:rtl w:val="0"/>
              </w:rPr>
              <w:t xml:space="preserve">kuras rīcībā pārbaudes brīdī ir</w:t>
            </w:r>
            <w:r w:rsidR="00000000" w:rsidRPr="00000000" w:rsidDel="00000000">
              <w:rPr>
                <w:rtl w:val="0"/>
              </w:rPr>
              <w:t xml:space="preserve"> nodotā lauksaimniecības zeme, saimniecība vai tās daļa), šķiet, formulēta pārāk plaši. Ja normas mērķis ir noteikt, ka atbalsta samazinājums piemērojams personai, kurai </w:t>
            </w:r>
            <w:r w:rsidR="00000000" w:rsidRPr="00000000" w:rsidDel="00000000">
              <w:rPr>
                <w:u w:val="single"/>
                <w:rtl w:val="0"/>
              </w:rPr>
              <w:t xml:space="preserve">nodota</w:t>
            </w:r>
            <w:r w:rsidR="00000000" w:rsidRPr="00000000" w:rsidDel="00000000">
              <w:rPr>
                <w:rtl w:val="0"/>
              </w:rPr>
              <w:t xml:space="preserve"> lauksaimniecības zeme, saimniecība vai tās daļa, lūdzam tā arī normā noteikt. Alternatīvi lūdzam sniegt anotācijā pamatotu skaidrojumu par normas nepieciešamību un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384. Ja ekoshēmas atbalstu par slāpekļa un amonjaka emisiju un piesārņojumu mazinošo lauksaimniecības praksi vēlas saņemt par 2022. gadā sētiem ziemājiem, lauksaimnieks nodrošina šīs nodaļas prasību izpildi un līdz 2023. gada 30. jūnijam sniedz informāciju atbilstoši šo noteikumu </w:t>
            </w:r>
            <w:r w:rsidR="00000000" w:rsidRPr="00000000" w:rsidDel="00000000">
              <w:rPr>
                <w:rtl w:val="0"/>
              </w:rPr>
              <w:t xml:space="preserve">161.3.</w:t>
            </w:r>
            <w:r w:rsidR="00000000" w:rsidRPr="00000000" w:rsidDel="00000000">
              <w:rPr>
                <w:rtl w:val="0"/>
              </w:rPr>
              <w:t xml:space="preserve"> un </w:t>
            </w:r>
            <w:r w:rsidR="00000000" w:rsidRPr="00000000" w:rsidDel="00000000">
              <w:rPr>
                <w:rtl w:val="0"/>
              </w:rPr>
              <w:t xml:space="preserve">163.3. </w:t>
            </w:r>
            <w:r w:rsidR="00000000" w:rsidRPr="00000000" w:rsidDel="00000000">
              <w:rPr>
                <w:rtl w:val="0"/>
              </w:rPr>
              <w:t xml:space="preserve">apakšpunktam</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384., norādot korektu iekšējo atsauci uz attiecīgās noteikumu nodaļas prasību izpildi (proti, šobrīd ietverta atsauce "šīs nodaļas", kaut arī norma ietverta noslēguma jautājumos).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aktos noteiktās pārvaldības prasības (TANPP) saskaņā ar regulas Nr. 2021/2115 III pielikumu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nelietot projektā terminu "nacionālā likumdošana", ņemot vērā, ka tas apzīmē likumdošanas procesu, nevis normatīvos aktus. Turklāt norāde nekorekti lietota pat tad, ja tālāk ietvertas atsauces uz Eiropas Savienības regulām. Attiecīgi aicinām aizstāt minēto vārdkopu ar vārdiem "normatīvo aktu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skaidrs, kas domāts ar "Saeimas un Ministru kabineta izdotajiem individuālajiem aizsardzības un izmantošanas noteikumiem izveidotajām aizsargājamām teritorijām". Aicinām izveidot piemērotu atsauci atbilstoši noteikumu Nr. 108 3.7. apakšnodaļai, nepieciešamības gadījumā norādot uz normatīvajiem aktiem noteiktā jomā, vai arī sniegt attiecīgu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aktos noteiktās pārvaldības prasības (TANPP) saskaņā ar regulas Nr. 2021/2115 III pielikumu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nelietot projektā iepriekš neizveidotus saīsinājumus (piemēram, "LAD", "MK", "VAAD" u.c.). Saskaņā ar juridiskās tehnikas prasībām visus lietotos saīsinājumus, rakstot pirmo reizi, atšifrē, iekavās norādot to turpmāko lietojumu. Ievērojot minēto, lūdzam precizēt noteikumu projektu atbilstoši noteikumu Nr. 108 124. punkta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25. pielikumā, kā arī anotācijā ietverta norāde uz "novadiem ar īpašiem apstākļiem". Vēršam uzmanību, ka no projekta nav saprotams, kas domāts ar minētajiem novadiem (projekta pamattekstā attiecīgs apzīmējums netiek lietots). Attiecīgi lūdzam precizēt projektu, nodrošinot skaidru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5.4. sadaļas 1. tabulā joprojām ir nepilnības.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regulas 2021/2115 III pielikuma prasības ir ieviestas ne tikai projekta pamattekstā, bet arī, piemēram, 8. pielikuma apakšvienībās. Attiecīgi lūdzam attiecīgu informāciju ietvert tabulā. Turklāt atkārtoti norādām, ka nav korekti norādīt vispārīgi kopumā uz III pielikumu, ņemot vērā, ka tam ir apakšvienības un attiecīgi, lai pārliecinātos par konkrētu Eiropas Savienības prasību pārņemšanu, tabulā tām jābūt izdalītām, norādot korelējošo projekta vienību vai apakšvienību. Līdzīgi nav korekti ietvert vispārīgu norādi uz projekta 8. pielikumu, ņemot vērā, ka arī tam ir apakšvienības;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dažviet tabulā nav norādītas korektas Eiropas Savienības regulu vai projekta vienības (piemēram, regulas 2022/126 2. panta "b" apakšpunkts ir ieviests projekta 26. punktā, savukārt citas 2. panta vienības (piemēram, "a" un "c" apakšpunkts, šķiet, ir ieviestas projekta 27.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tabulā attiecībā uz vairākām regulām, uz kuru normām ietverta atsauce projekta 8. pielikumā, norādīts, ka 8. pielikumā ietverta vispārīga atsauce (piemēram: "Vispārīga atsauce uz regulu Nr. 178/2002"). Ņemot vērā, ka tomēr 8. pielikumā ir ietverta atsauce uz konkrētām regulas vienībām, lūdzam precizēt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atkārtoti pārskatīt un precizēt tabulu, nodrošinot korektu un precīzu informāciju par Eiropas Savienības regulu normu ieviešanu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22-TA-3815</w:t>
    </w:r>
    <w:r>
      <w:br/>
    </w:r>
    <w:r w:rsidR="00000000" w:rsidRPr="00000000" w:rsidDel="00000000">
      <w:rPr>
        <w:rtl w:val="0"/>
      </w:rPr>
      <w:t xml:space="preserve">Izdrukāts 28.03.2023. 20.55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22-TA-3815</w:t>
    </w:r>
    <w:r>
      <w:br/>
    </w:r>
    <w:r w:rsidR="00000000" w:rsidRPr="00000000" w:rsidDel="00000000">
      <w:rPr>
        <w:rtl w:val="0"/>
      </w:rPr>
      <w:t xml:space="preserve">Izdrukāts 28.03.2023. 20.55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Atzinumi_22-TA-3815.docx</dc:title>
</cp:coreProperties>
</file>

<file path=docProps/custom.xml><?xml version="1.0" encoding="utf-8"?>
<Properties xmlns="http://schemas.openxmlformats.org/officeDocument/2006/custom-properties" xmlns:vt="http://schemas.openxmlformats.org/officeDocument/2006/docPropsVTypes"/>
</file>