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joprojām nav atrisināts jautājums par ziņojumos ietvertās informācijas pārbaudi zaļmaldināšanas novēršanas gadījumos. Anotācijas Nodaļā 1.6.Cita informācija norādīts vienīgi  Valsts vides dienests kā iestāde, kas uzrauga normatīvo aktu ievērošanu vides aizsardzības jomā, tomēr arī citi valsts dienesti ir atbildīgi par vides un dabas aizsardzības prasību ievērošanas uzraudzību (piemēram, Valsts meža dienests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ietekmes uz vidi vērtēšanas principu atšķirības starp Eiropas ilgtspējas ziņošanas standartiem (ESRS), ES Taksonomijas tehniskās pārbaudes kritērijiem un Latvijas Republikas normatīvajiem aktiem. Pašreizējās atbildīgo valsts dienestu darbības jomās nav ietverti visi ilgtspējas ziņošanas standartu aspekti, tajā skaitā uzņēmumu ilgtspējas ziņojumā vai konsolidētajā ilgtspējas ziņojumā ietvertās informācijas pārbaude atbilstoši noteiktiem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norāde anotācijā nav pietiekama, lai preventīvi un efektīvi pārvaldītu riskus, kas ir saistīti ar zaļmaldināšanu.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jāpapildina ar zaļmaldināšanas preventīvu risinājumu un efektīvas uzraudzības mehānisma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