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Valsts zinātnisko institūciju saimnieciskā darbība un intelektuālā īpašuma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 institūcija saskaņā ar stratēģiju īsteno mērķgrupu inovāciju, uzņēmējspēju veicinošus, tehnoloģiju un zināšanu pārneses mērķtiecīgu procesu, ietverot gan atbalsta, gan motivāciju programmu izstrādi un ieviešanu, tā ietvaros paredzot gan finanšu, gan citu resursu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valsts zinātnisko institūciju ieguldījumam jaunos vai esošos uzņēmumos, kā arī Eiropas Savienībā regulētos ieguldījumu fondos un citos finanšu instrumentos, tai skaitā procentuāli nosakot tolerances līmeni pret iespējamo valsts zinātniskās institūcijas ieguldījumu portfeļa zaudējumu apmēru 10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Balstoties uz Ministru kabineta apstiprināto kārtību, valsts zinātniskās institūcijas izstrādā investīciju un tehnoloģiju pārneses stratēģiju, kas ietver arī intelektuālā īpašuma tiesību pārvaldības un izmantošanas politiku, kurā nosaka intelektuālā īpašuma pārvaldību un izmantošanu, tai skaitā licencēšanas, jaunuzņēmumu dibināšanas un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ievēro pienācīgu rūpību, veicot ieguldījumus atbilstoši valsts zinātniskās institūcijas investīciju un tehnoloģiju pārneses stratēģijā noteiktajiem mērķiem un riska profilam, paredzot kārtību, kādā tiek veikti ieguldījumi un nodrošinot pienācīgu rūpību atbilstoši valsts zinātniskās institūcijas darbības specifikai, dokumentēšanu un pēckontroli.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zinātniskā institūcija tehnoloģiju pārneses un biznesa inkubācijas procesu rezultātā gūto peļņu var ieguldīt investīciju un tehnoloģiju pārneses stratēģijas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zinātniskā institūcija ir tiesīga piesaistīt investīcijas un aizņēmumus pētniecības un attīstības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zinātniskā institūcija, īstenojot investīciju un tehnoloģiju pārneses stratēģiju, var pretendēt uz valsts uzņēmējdarbības un pētniecības atbalsta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Īstenojot šā panta piektajā daļā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ir tiesības intelektuālo īpašumu ieguldīt konkrētā uzņēmuma pamatkapitālā, vai nodot to uzņēmumam īpašumā vai lietošanā, vienojoties ar uzņēmumu par nodošanas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konkrētā uzņēmuma izvēli sadarbības īstenošanai veic bez atlases procedūras, bet izvērtējot tā komercializācijas potenciālu ilgtermiņa atdevi valsts zinātniskā institūcijas turpmākas attīstības nodrošināšanai saskaņā ar investīciju un tehnoloģiju  pārneses stratēģijā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kas domāts ar panta trešās daļas vārdiem "balstoties uz Ministru kabineta apstiprināto kārtību" - vai tā ir domāta panta otrajā daļā paredzētā kārtība vai kāda cita. Papildus precizējams, ka stratēģiju izstrādā "Ministru kabineta noteiktajā kārtībā", nevis "Balstoties ...apstiprināto".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Valsts zinātnisko institūciju saimnieciskā darbība un intelektuālā īpašuma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 institūcija saskaņā ar stratēģiju īsteno mērķgrupu inovāciju, uzņēmējspēju veicinošus, tehnoloģiju un zināšanu pārneses mērķtiecīgu procesu, ietverot gan atbalsta, gan motivāciju programmu izstrādi un ieviešanu, tā ietvaros paredzot gan finanšu, gan citu resursu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valsts zinātnisko institūciju ieguldījumam jaunos vai esošos uzņēmumos, kā arī Eiropas Savienībā regulētos ieguldījumu fondos un citos finanšu instrumentos, tai skaitā procentuāli nosakot tolerances līmeni pret iespējamo valsts zinātniskās institūcijas ieguldījumu portfeļa zaudējumu apmēru 10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Balstoties uz Ministru kabineta apstiprināto kārtību, valsts zinātniskās institūcijas izstrādā investīciju un tehnoloģiju pārneses stratēģiju, kas ietver arī intelektuālā īpašuma tiesību pārvaldības un izmantošanas politiku, kurā nosaka intelektuālā īpašuma pārvaldību un izmantošanu, tai skaitā licencēšanas, jaunuzņēmumu dibināšanas un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ievēro pienācīgu rūpību, veicot ieguldījumus atbilstoši valsts zinātniskās institūcijas investīciju un tehnoloģiju pārneses stratēģijā noteiktajiem mērķiem un riska profilam, paredzot kārtību, kādā tiek veikti ieguldījumi un nodrošinot pienācīgu rūpību atbilstoši valsts zinātniskās institūcijas darbības specifikai, dokumentēšanu un pēckontroli.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zinātniskā institūcija tehnoloģiju pārneses un biznesa inkubācijas procesu rezultātā gūto peļņu var ieguldīt investīciju un tehnoloģiju pārneses stratēģijas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zinātniskā institūcija ir tiesīga piesaistīt investīcijas un aizņēmumus pētniecības un attīstības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zinātniskā institūcija, īstenojot investīciju un tehnoloģiju pārneses stratēģiju, var pretendēt uz valsts uzņēmējdarbības un pētniecības atbalsta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Īstenojot šā panta piektajā daļā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ir tiesības intelektuālo īpašumu ieguldīt konkrētā uzņēmuma pamatkapitālā, vai nodot to uzņēmumam īpašumā vai lietošanā, vienojoties ar uzņēmumu par nodošanas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konkrētā uzņēmuma izvēli sadarbības īstenošanai veic bez atlases procedūras, bet izvērtējot tā komercializācijas potenciālu ilgtermiņa atdevi valsts zinātniskā institūcijas turpmākas attīstības nodrošināšanai saskaņā ar investīciju un tehnoloģiju  pārneses stratēģijā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skaidrības labad precizēt likuma pilnvarojuma redakciju, nošķirot "kārtības" apjomu un nosacījumus. Piemēram, Ministru kabinets nosaka kārtību, kādā valsts zinātniskā institūcija veic ieguldījumus jaunos vai esošos uzņēmumos, Eiropas Savienībā regulētos ieguldījumu fondos un citos finanšu instrumentos, kā arī nosaka tolerances līmeni pret iespējamo valsts zinātniskās institūcijas ieguldījumu portfeļa zaudējumu apmēru 10 gadu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precizēt anotācijas aprakstu, ņemot vērā, ka plānotais regulējums paredz, ka ieguldījumus varēs veikt ne tikai uzņēmumos, bet arī Eiropas Savienībā regulētos ieguldījumu fondos un citos finanšu instrumentos.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vērtējumu, vai būs iespējams nodrošināt vienlaicīgu likuma un Ministru kabineta noteikumu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likumprojekta 13.</w:t>
            </w:r>
            <w:r w:rsidR="00000000" w:rsidRPr="00000000" w:rsidDel="00000000">
              <w:rPr>
                <w:vertAlign w:val="superscript"/>
                <w:rtl w:val="0"/>
              </w:rPr>
              <w:t xml:space="preserve">1</w:t>
            </w:r>
            <w:r w:rsidR="00000000" w:rsidRPr="00000000" w:rsidDel="00000000">
              <w:rPr>
                <w:rtl w:val="0"/>
              </w:rPr>
              <w:t xml:space="preserve">panta otrajā daļā paredzēto likuma pilnvarojumu Ministru kabinetam izdot jaunus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jo saskatām, ka projekta izpildi veiks institūcija, kas izstrādās Ministru kabineta noteikumus (šobrīd anotācijas 4.sadaļā tā nav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nedublēt informāciju no anotācijas 1.3.punkta.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24-TA-2417</w:t>
    </w:r>
    <w:r>
      <w:br/>
    </w:r>
    <w:r w:rsidR="00000000" w:rsidRPr="00000000" w:rsidDel="00000000">
      <w:rPr>
        <w:rtl w:val="0"/>
      </w:rPr>
      <w:t xml:space="preserve">Izdrukāts 07.10.2024.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24-TA-2417</w:t>
    </w:r>
    <w:r>
      <w:br/>
    </w:r>
    <w:r w:rsidR="00000000" w:rsidRPr="00000000" w:rsidDel="00000000">
      <w:rPr>
        <w:rtl w:val="0"/>
      </w:rPr>
      <w:t xml:space="preserve">Izdrukāts 07.10.2024.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Atzinumi_24-TA-2417.docx</dc:title>
</cp:coreProperties>
</file>

<file path=docProps/custom.xml><?xml version="1.0" encoding="utf-8"?>
<Properties xmlns="http://schemas.openxmlformats.org/officeDocument/2006/custom-properties" xmlns:vt="http://schemas.openxmlformats.org/officeDocument/2006/docPropsVTypes"/>
</file>