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HP atspoguļošanai normatīvajos aktos, uzturam iebildumu un atkārtoti lūdzam rast iespēju papildināt sadaļu ar vispārīgo un specifisko HP darbību, kas veicina personu ar invaliditāti vienlīdzīgas iespējas un tiesības, aprakstu (skat.  specifisko un vispārīgo darbību piemērus 5.1.1.4. pasākuma projektu iesniegumu vērtēšanas kritēriju piemērošanas metodikā, kas tika saskaņota 02.02.2023. ES fondu apakškomitejā).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HP atspoguļošanai normatīvajos aktos, uzturam iebildumu un atkārtoti lūdzam rast iespēju papildināt sadaļu ar vispārīgo un specifisko HP darbību, kas veicina dzimumu līdztiesību, aprakstu (skat.  specifisko un vispārīgo darbību piemērus 5.1.1.4. pasākuma projektu iesniegumu vērtēšanas kritēriju piemērošanas metodikā, kas tika saskaņota 02.02.2023. ES fondu apakškomitejā).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12.05.2023.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12.05.2023.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