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22-TA-2458: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2.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2.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Atveseļošanas fonda plānā norādītajam (1601. rindkopa) 5.1.1.2.i investīcijas ietvaros CFLA organizē projektu konkursu un atlasa piecus inovāciju klasterus. Atveseļošanas fonda plāna 1623. rindkopā ir skaidri noteikts, ka atbalsts dalībai ES līmeņa pētniecības programmās un starptautiskos sadarbības tīklos tiks nodrošināts jaunizveidoto inovāciju klasteru ietvaros, kas ir minēts arī CID atskaites punkta Nr.157 “Izveidoti inovāciju klasteri” aprakstā, t.i. šobrīd 5.1.1.2.i. investīcijas otrās kārtas MK noteikumos plānotās darbības būtu jānodrošina piecu inovāciju klasteru (piecu projektu) ietvaros. Turklāt, saskaņā ar Eiropas Parlamenta un Padomes regulas Nr. 2021/241, ar ko izveido Atveseļošanas un noturības mehānismu (turpmāk – regula), 24.pantu Eiropas Komisija novērtē un apstiprina dalībvalstu pieprasījumu finanšu iemaksas maksājumam, pamatojoties uz Atveseļošanas fonda investīciju un reformu ietvaros sasniegtajiem atskaites punktiem un mērķiem, savukārt 5.1.1.2.i. investīcijas otrās kārtas MK noteikumos ir paredzēti tikai nacionālie rādītāji, kurus finansējuma saņēmēji iesniegs Ekonomikas ministrijai pēc pieprasījuma. Līdz ar to, CFLA iebilst 5.1.1.2.i. investīcijas otrās kārtas MK noteikumu izstrādei, jo tie neatbilst Atveseļošanas fonda plānā paredzētajam un saskata risku, ka 5.1.1.2.i investīcijas otrā kārta neatbilst regulas finansēšanas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2.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Konceptuāls komentārs</w:t>
            </w:r>
            <w:r w:rsidR="00000000" w:rsidRPr="00000000" w:rsidDel="00000000">
              <w:rPr>
                <w:rtl w:val="0"/>
              </w:rPr>
              <w:t xml:space="preserve"> - Vēršam uzmanību, ka gan MK noteikumu projektam, gan tā anotācijai ir jāatbilst spēkā esošajai Atveseļošanas un noturības mehānisma plāna (turpmāk - AF plāns) redakcijai un tā saistošajiem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iesūtīt MKN projekta un anotācijas tulkojumu angļu valodā, lai nodrošinātu tā saskaņošanu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izvērtēt interešu konflikta riskus, ka finansējuma saņēmēji, to pārstāvji vai ar tiem saistītās personas piedalīsies inovāciju klasteros (darba grupās), lemjot par nozares attīstības tendencēm, un tad atbilstoši lemtajam piešķirs un/vai saņems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Atveseļošanas un noturības mehānisma (turpmāk – Atveseļošanas fonds)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2. kārtas (turpmāk – investīcija) īstenošanas un uzraudzības kārtību, tostarp: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MKN izstrādāt un strukturēt atbilstoši Vadlīnijām informatīvā ziņojuma vai Ministru kabineta noteikumu izstrādei par Eiropas Savienības Atveseļošanas un noturības mehānisma plāna reformas vai investīcijas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investīcijas ieviešanas un finansējuma saņemšanas nosacījumus, tai skaitā ar valsts atbalsta saņemšanu saistītos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lietot vienotu terminoloģiju attiecībā uz komercdarbības atbalstu, proti, vietām lietots termins "komercdarbības atbalsts", vietām "valsts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partneri - komersanti, pētniecības un zināšanu izplatīšanas organizācijas, valsts un pašvaldību kapitālsabiedrības, biedrības, nodibinājumi un citas institūcijas, kas iesaistās sadarbības tīkla mērķa sasniegšanā, ir noslēguši sadarbības līgumu ar sadarbības tīklu, bet nav sadarbības tīkla biedri;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sadarbības partneru piesaistes faktisko nepieciešamību. Gadījumā, ja nozares ministrijas ieskatā sadarbības partneri ir iespējami un var būt nepieciešami projekta mērķu sasniegšanai, lūdzam anotācijā skaidrot sadarbības partneru iesaistes konceptu un iesaistes tvērumu, proti, skaidrot, kādos gadījumos sadarbības partneri var sniegt pienesumu un kādā veidā ir noformējama sadarbība. Vienlaikus šādā gadījumā lūdzam atbalstāmās darbības papildināt (šobrīd MK noteikumu III. nodaļa) ar sadarbības partnera atbalstāmajām darbībām. Vēršam uzmanību, ka sadarbības partnerim tādējādi tiek piešķirts komercdarbības atbalsts. Līdz ar to lūdzam attiecīgi precizēt noteikumu projektu un sniegt anotācijā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nozares ministrija izvērtējot secina, ka sadarbības partneru iesaiste nav nepieciešama, lūdzam no MK noteikumu projekta izslēgt uz sadarbības partneri attiecināmo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mērķis ir veicināt komersantu, pētniecības un zināšanu izplatīšanas organizāciju un citu institūciju sadarbību vietējā un starptautiskā līmenī, palielināt komersantu ieguldījumus attīstībā un inovācijās, tādējādi veicinot uzņēmumu konkurētspējas paaugstināšanos, produktivitātes, eksportspējas celšanu un inovāciju ekosistēmas veidošanos, kas nodrošinātu Latvijas uzņēmumu ciešāku integrāciju globālajās vērtību ķēdēs.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projektā noteiktais investīcijas mērķis neatbilst ANM plānā norādītajam 5.1.1.2.i Investīcijas mērķim – palielināt privāto P&amp;A investīciju apjomu, izmantojot mērķtiecīgas publiskās investīcijas, kas veicina jaunu produktu un tehnoloģiju izstrādi, kā arī zināšanu pārnesi tautsaimniecībā.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Finansējuma saņēmēji ir sadarbības tīkli.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vienotu terminoloģiju attiecībā uz  sadarbības tīkliem, proti, vietām lietots termins "sadarbības tīkli", vietām "finansējuma saņēmēji".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gala labuma guvēji ir sīkie (mikro), mazie, vidējie, lielie komersanti (t.sk. valsts kapitālsabiedrības), pētniecības un zināšanu izplatīšanas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iekavās norādīto informāciju izsakot to šādā redakcijā : “[..] (t. sk. valsts un pašvaldību kapitālsabiedrības) [..]”, tādējādi nodrošinot savstarpēju atbilstību ar MK noteikumu projekta 2.4. apakšpunktā norādīto sadarbības tīkla dalībnieku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gala labuma guvēji ir sīkie (mikro), mazie, vidējie, lielie komersanti (t.sk. valsts kapitālsabiedrības), pētniecības un zināšanu izplatīšanas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lūgums precizēt atbilstoši AF plāna redakcijai - "Atbalsta saņēmēji ir komersanti (sīkie (mikro), mazie un vidējie, lielie komersanti (t.sk. valsts kapitālsavienības) un</w:t>
            </w:r>
            <w:r w:rsidR="00000000" w:rsidRPr="00000000" w:rsidDel="00000000">
              <w:rPr>
                <w:b w:val="1"/>
                <w:rtl w:val="0"/>
              </w:rPr>
              <w:t xml:space="preserve"> pētniecības institūcijas RIS3 specializācijas jomās</w:t>
            </w:r>
            <w:r w:rsidR="00000000" w:rsidRPr="00000000" w:rsidDel="00000000">
              <w:rPr>
                <w:rtl w:val="0"/>
              </w:rPr>
              <w:t xml:space="preserve">." Lūgums atbilstoši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7.punkta apakšpunktos norādītās rādītāju vērtības, nodrošinot savstarpējo atbilstību ar anotācijā norādīto, proti, nenoapaļojot 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investīcijas sasniedzamajiem rādītājiem nav sasaistes ar noteikumu projekta 23. punktā paredzētajām darbībām un 26. punktā norādītajām izmaksām. Lūdzam precizēt MK noteikumus un paredzēt tādas darbības/izmaksas, kas veicinātu investīcijas rādītāju,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Investīcijas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šie CID rādītāji neatbilst piedāvātajam programmas mērķim - saskaņā ar CID aprakstu šos rādītājus attiecina uz inovāciju klasteriem, kuros plānoti pētījumu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Izdalot atsevišķi sadarbības tīklu programmu, tai nav specifiski izdalītu savu CID rādītāju, ar kuriem būtu iespēja sasaistīt uz sadarbības tīklu programmu attiecināmo finansējumu. Skaidrojam, ka CID mērķa Nr.158 “Apstiprināti projekti par vismaz 98 miljoniem EUR no finansējuma” rādītājs nav attiecināms uz sadarbības tīklu programmu, jo mērķa aprakstā ir paskaidrots, ka šī rādītāja izpilde ir saistīta ar pašu inovāciju klasteru programmu, t.sk. CID atskaites punktu Nr.157 “Izveidoti inovāciju klasteri”. Lūdzam ņemt vērā arī rādītāja sasniegšanas skaidrojumus CID un Darbības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Investīcijas īstenošanu nodrošina Centrālā finanšu un līgumu aģentūra (turpmāk – aģentūra) un nozares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Centrālā finanšu un līgumu aģentūra nenodrošina investīcijas īstenošanu, bet gan finansējuma saņēmējs. Lūdzam atbilstoši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Investīcijas ietvaros aģentūra organizē atklātu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07.09.2021. noteikumu Nr. 621 9.3.apakšpunktā noteikto, aģentūra veic, nevis organizē projektu iesniegumu atlasi - lūdzam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Investīcijas ietvaros aģentūra organizē atklātu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šie MK noteikumi neatbilst Atveseļošanas fonda plānam, Centrālā finanšu un līgumu aģentūra iebilst pret šo MK noteikumu ietvaros tai paredzētajām funkcijām. Lūdzam skatīt iebildumu pie MK noteikumu nosaukuma.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Investīcijas ietvaros tiek atbalstīts ne mazāk kā viens sadarbības tīkls katrā RIS3 specializācijas jomā, kurš projektu iesniegumu atlasē ieguvis augstāko punktu skaitu. Atlikušo finansējumu piešķir projektu iesniegumiem, kuri projektu iesniegum atlasē ieguvuši augstāko punktu skaitu, neatkarīgi no RIS3 specializācijas jomas.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aģentūra nevar apstiprināt projekta iesniegumu kādā jomā, ja projekta iesniegums tajā nav iesniegts, lūdzam precizēt 14.punktu, izsakot to piedāvātajā redakcijā. Vienlaikus lūdzam to pārcelt uz nodaļu par projektu iesniegumu atlasi.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tiek atbalstīts ne mazāk kā viens sadarbības tīkls katrā no RIS3 specializācijas jomām, kurās ir iesniegts projekta iesniegums. Prioritāri katrā no tām tiek atbalstīts viens projekta iesniegums, kas saņēmis augstāko punktu skaitu. Atlikušo finansējumu piešķir projektu iesniegumiem, kuri projektu iesniegum atlasē ieguvuši augstāko punktu skaitu, neatkarīgi no RIS3 specializācijas jomas.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Līgums par projekta īstenošanu tiek slēgts starp aģentūru un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šie MK noteikumi neatbilst Atveseļošanas fonda plānam, Centrālā finanšu un līgumu aģentūra iebilst pret šo MK noteikumu ietvaros tai paredzētajām funkcijām. Lūdzam skatīt iebildumu pie MK noteikumu nosaukuma.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un projekta iesniegumam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II nodaļas nosaukuma dzēst vārdus "un projekta iesniegumam", jo ar projekta iesniegumu saistītā informācija būtu attiecināma uz atlases procesu un tādējādi būtu pārceļama uz šobrīd V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investīcijā tomēr tiks paredzēti sadarbības partneri, lūdzam partnerim izvirzāmās prasības ietvert šajā nodaļā un nodaļas nosaukumu papildināt ar vārdiem "un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ietvaros projekta iesnieguma iesniedzējs ir sadarbības tīkls, kurš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iesniedzējam/finansējuma saņēmējam izvirzītās specifiskās prasības, proti, ka atbilstoši MK noteikumu 17.2. apakšpunktam projekta iesnieguma iesniedzējs ir biedrība vai nodibinājums, kurš ir RIS3 jomas inovācijas klastera (vadības grupa) dalībnieks, kas nozīmē, ka projekta iesniedzēju loks ir faktiski apzināms un jau iepriekš nosakāms, līdz ar ko arī finansējumu katram no tiem iespējams definēt, lūdzam atteikties no mākslīga konkursa veidošanas un paredzēt šo investīcijas kārtu ierobežotas atlases formātā, proti noteikt, ka Ekonomikas ministrija izvērtē projekta iesniegumus un pieņem lēmumu par projektu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biedrība vai nodibinājums ir RIS3 jomas inovācijas klasteris (vadības grupa) dalībnieks;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Labākas uztveramības nolūkos lūdzam pārskatīt šī punkta redakciju, kā arī lūdzam anotācijā skaidrot, kur tiek reģistrēta informācija par aktuālajiem ir RIS3 vadības grupas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kā sadarbības  tīkla dalībnieks ir iesaistītas vismaz divas pētniecības un zināšanu izplatīšanas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ir paredzēts pārbaudīt dalībnieka pētniecības un zināšanu izplatīšanas organizācijas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kā sadarbības  tīkla dalībnieks ir iesaistītas vismaz divas pētniecības un zināšanu izplatīšanas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pētniecības un zināšanu izplatīšanas organizācija ir jābūt sadarbības tīkla dalībniekam, t.i., biedram, vai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uz projekta iesnieguma iesniegšanas dienu sadarbības tīkls pārstāv ne mazāk kā 30 savstarpēji nesaistītus komersantus, kas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nepārprotami skaidrot dalībnieku pārstāvības formu (piemēram, dalībnieki ir biedri, dibinātāji, vai tml.) – šobrīd anotācijā norādīts, ka dalībnieki ir biedri, tomēr vēršam uzmanību, ka nodibinājumiem biedru nav. Kā arī lūdzam skaidrot vārda “nesaistītus” interpretāciju šīs investīcijas ietvaros (piemēram, vai tas nozīmē, ka uzņēmumi nevar būt tikai saistīti Regulas Nr. 651/2014 I pielikuma 3. panta izpratnē, bet tie var būt partneruzņēmumi?)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uz projekta iesnieguma iesniegšanas dienu sadarbības tīkls pārstāv ne mazāk kā 30 savstarpēji nesaistītus komersantus, kas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šiem 30 komersantiem ir jābūt sadarbības tīkla biedriem.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17.4.1. savstarpēji nesaistītu sīko (mikro), mazo un vidējo komersantu neto apgrozījums vidēji pēdējo triju gadu laikā ir ne mazāks kā 40 milj. euro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kādēļ aprēķinā nav iekļaujami citu sadarbības tīkla dalībnieku, piemēram, lielo komersantu dati, ņemot vērā, ka atbalsta saņemšanas nosacījumi un iespējas tiem pirmšķietami neatšķiras.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17.4.2. savstarpēji nesaistītu sīko (mikro), mazo un vidējo komersantu kopējais eksporta apjoms vidēji pēdējo triju gadu laikā ir ne mazāks kā 8 milj. euro gadā. Ja projekta iesniedzējs pārstāv tūrisma vai veselības aprūpes nozares komersantus, komersantu ieņēmumi no ārvalstu ceļotāju apkalpošanas vidēji pēdējo triju gadu laikā ir ne mazāki kā 1,5 milj. euro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vienotā kritērija Nr.1 un kvalitātes kritērija Nr.2 piemērošanas skaidrojumu, lūdzam norādīt šo datu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17.4.1. un 17.4.2. apakšpunktā minēto minimālo robežvērtību sasniegšanā viena sadarbības tīkla dalībnieka rādītāji nepārsniedz 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punkta redakcija ierobežo, ka uzņēmums automātiski ir izslēdzams no sadarbības tīkla potenciālo dalībnieku loka, ja tā apgrozījums ir lielāks par 10 mlj. euro vai eksporta apjoms – lielāks par 2 mlj. euro., tādējādi no dalības ar lielu iespējamību izslēdzot vidējos komersantus un pilnībā izslēdzot lielos komersantus.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redakciju, nosakot, ka viena dalībnieka rādītāji nepārsniedz 25% no sadarbības tīkla kopējiem rādītājiem, nevis no noteiktajām minimālajām vērtībām.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nedrīkst vienlaicīgi īstenot projektu šīs investīcijas ietvaros un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Ja projekta iesniedzējs piesakās abās atbalsta programmās, tad projekta iesniedzējs vienā no projekta iesniegumiem norāda, ka tā ir prioritārā atbalsta programma. Ja abi projekta iesniegumi tiek apstiprināti, tad aģentūra slēdz līgumu par projekta īstenošanu prioritārajā atbalsta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ir objektīvi iespējams vienam sadarbības tīklam būt atbilstošam abos atbalsta pasākumos, ņemot vērā, ka šajā investīcijā ir atbalstāmi RIS3 jomas tīkli, savukārt 1.2.3.6. – tūrisma tīkli. Gadījumā, ja šāda iespējamība pastāv, lūdzam to anotācijā skaidrot.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atteikties no 20. punkta otrā un trešā teikuma, tādējādi taupot gan potenciālo finansējuma saņēmēju resursus, kas būtu nelietderīgi patērēti sagatavojot divus projektu iesniegumus, gan publiskos resursus, kas tiks atvēlēti divus projektu iensiegumu 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kopā ar projekta iesniegumu iesniedz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biedrību biedru saraksts nav publiski pieejams un ir mainīgs, lūdzam kā papildu iensiedzamu dokumentu paredzēt sadarbības tīkla dalībnieka apliecinājumu par dalību projektā, lai tādējādi izvairītos no nepamatotas dalībnieku uzrādīšanas.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tabulu, kurā norādīta šāda informācija par visiem sadarbības tīkla dalībniekiem: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22.6. apakšpunktā ietverto sarakstu, paredzot, ka tabulā norādāma arī informācija par dalībnieka pārstāvēto nozari un ieņēmumiem no ārvalstu ceļotāju apkalpošanas katrā no pēdējiem trim noslēgtajiem pārskata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Finansējumu piešķir šādām atbalstāmajām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Ekonomikas ministrijas sniegto skaidrojumu izziņas 1. un 4. punktā, joprojām nav skaidrs, kāpēc šajos MK noteikumos paredzētās darbības nav iespējams veikt 5.1.1.2.i. 1.kārtas inovāciju klasteru programmas ietvaros. Lūdzam sniegt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23.2.1. tirgus izpēte;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tirgus izpētes veicējs un/vai kāds ir tirgus izpētes mērķis, kā arī lūdzam precizēt, kādas tirgus izpētes ir paredzētas.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23.2.4. vizītes pie ārvalstu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vizīšu mērķi vai konkretizēt pie kāda veida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23.2.5. komerciālās sadarbības sekmēšanas pasākumi, tai skaitā dalība starptautiskajās izstādēs;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šīs investīcijas izpratnē ir komerciālās sadarbbības sekmēšanas pasākumi, jo pirmšķietami arī 23.2.4., 23.2.6. un 23.2.7. ir komerciālās sadarbības sekmēšanas pasākumi. Vienlaikus, ja izstādes tiek izceltas, konsekvences nolūkos būtu jāuzskaita arī citi atbalstāmie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23.2.6. sadarbības tīkla un sadarbības tīkla dalībnieku atpazīstamības un mārketinga aktivitātes, ja aktivitātes pēc savas būtības ir vispārējas vai sniedz labumu plašam dalībnieku lokam;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skaidrot, kādi ir kritēriji, lai noteiktu, ka aktivitātes pēc savas būtības ir </w:t>
            </w:r>
            <w:r w:rsidR="00000000" w:rsidRPr="00000000" w:rsidDel="00000000">
              <w:rPr>
                <w:b w:val="1"/>
                <w:rtl w:val="0"/>
              </w:rPr>
              <w:t xml:space="preserve">vispārējas</w:t>
            </w:r>
            <w:r w:rsidR="00000000" w:rsidRPr="00000000" w:rsidDel="00000000">
              <w:rPr>
                <w:rtl w:val="0"/>
              </w:rPr>
              <w:t xml:space="preserve"> vai sniedz labumu </w:t>
            </w:r>
            <w:r w:rsidR="00000000" w:rsidRPr="00000000" w:rsidDel="00000000">
              <w:rPr>
                <w:b w:val="1"/>
                <w:rtl w:val="0"/>
              </w:rPr>
              <w:t xml:space="preserve">plašam dalībnieku lokam.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23.2.7. iesaiste starptautiskās sadarbības platformās, tai skaitā ES līmeņa pētniecības programmās un starptautiskos sadarbības tīklos.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anotācijā) kāda veida iesaiste ir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23.2.7. iesaiste starptautiskās sadarbības platformās, tai skaitā ES līmeņa pētniecības programmās un starptautiskos sadarbības tīklos.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plāna 1623. rindkopā ir skaidri noteikts, ka atbalsts dalībai ES līmeņa pētniecības programmās un starptautiskos sadarbības tīklos tiks nodrošināts jaunizveidoto inovāciju klasteru ietvaros, kas ir minēts arī CID atskaites punkta Nr.157 </w:t>
            </w:r>
            <w:r w:rsidR="00000000" w:rsidRPr="00000000" w:rsidDel="00000000">
              <w:rPr>
                <w:i w:val="1"/>
                <w:rtl w:val="0"/>
              </w:rPr>
              <w:t xml:space="preserve">“Izveidoti inovāciju klasteri” </w:t>
            </w:r>
            <w:r w:rsidR="00000000" w:rsidRPr="00000000" w:rsidDel="00000000">
              <w:rPr>
                <w:rtl w:val="0"/>
              </w:rPr>
              <w:t xml:space="preserve">aprakstā, līdz ar to lūdzam skaidrot vai precizēt noteikumu projekta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Investīcijas ietvaros atbalstu nesniedz šādām darbībām un nozarēm: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nozares ministrijai Anotācijā skaidrot, kāpēc tā paredz stingrākus nosacījumus nekā paredz Regula Nr.1407/2013, un 25.2., 25.3, un 25.4. apakšpunktā precizēt nozares atbilstoši NACE klasifikatoram, norādot konkrētus NACE kodus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jau pabeigtām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25.5.apakšpunktā norādīt, uz kuru brīdi nesniedz atbalstu pabeigtām darbībām atbilstoši AF vadlīnijām (Vadlīnijas informatīvā ziņojuma vai Ministru kabineta noteikumu izstrādei par Eiropas Savienības Atveseļošanas un noturības mehānisma plāna reformas vai investīcijas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vadības un personāla atlīdzības izmaksas (projekta vadības personāla atlīdzības izmaksas par projekta ietvaros veicamo darbību plānošanu, koordinēšanu, kontroli, izmaksas par projekta dokumentācijas nodrošināšanu atbilstoši Eiropas Savienības un nacionāla līmeņa tiesību aktos noteiktajām prasībām, projekta iepirkumu organizēšanas un kontroles izmaksas, tai skaitā valsts sociālās apdrošināšanas obligātās iemaksas) no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apliecināt, ka projekta vadības izmaksas ir attiecināmas uz šī projekta īstenošanu. Tāpat lūdzam anotācija skaidrot dubultās finansēšanas riska novēršanas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projekta vadības personāla, sadarbības tīkla koordinatora, sadarbības tīkla speciālistu sadarbības tīkla dalībnieku darbinieku komandējuma izmaksas, tai skaitā transporta, naktsmītnes un dienas naudas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26.3.apakšpunktā precizēt, norādot, vai attiecināmi iekšzemes vai ārvalstu komandējumi. Vienlaikus aicinām norādīt normatīvos aktus/vadlīnijas, kas piemērojami attiecināmo izmaksu ierobežojumu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ārējo pakalpojumu izmaksas šo noteikumu 23.2 apakšpunktā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kādu pakalpojumu izmaksas ir 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26.6. izmaksas, kas saistītas ar dalību starptautiskajās izstādēs ārvalstīs, tai skaitā izstāžu stendu izgatavošanas un to transportēšanas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detalizētāku uzskaitījumu (tikai izstāžu stendu izgatavošana un transportēšana vai arī, piemēram, dalības maksa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26.7. izmaksas, kas saistītas ar Eiropas Klasteru ekselences iniciatīvas novērtējuma saņemšanu (www.cluster-analysis.org).</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detalizētāku uzskaitījumu, kādas izmaksas šī pozīcija var aptvert.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Par šo noteikumu 26.6. apakšpunktā minētajām izmaksām sadarbības tīkls informē Latvijas investīciju un attīstības aģentūru, lai nodrošinātu, ka līdzīgas izmaksas netiek apmaksātas no Latvijas investīciju un attīstības aģentūras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jo nav viennozīmīgi skaidrs, kas saprotams, ar līdzīgām izmaksām. Būtiski ir nodrošināt, ka projekta izmaksas netiek segtas no citiem publiskiem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26.1. apakšpunktā noteiktās izmaksas ir attiecināmas atbilstoši nozares ministrijai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tiešām ANM investīciju ietvaros paredzēta vienkāršoto izmaksu metodika. Ja tāda ir paredzēta, lūgums norādīt precīzu atsauci uz šo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ANM ietvaros netiek lietots termins “vadošā iestāde” – lūdzam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26.1. apakšpunktā noteiktās izmaksas ir attiecināmas atbilstoši nozares ministrijai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arī ar 26.2.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26.1. un 26.2.apakšpunktā noteiktās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savās attiecināmās izmaksās drīkst iekļaut šo noteikumu 26.4., 26.5., 25.6. apakšpunktos minētās izmaksas, kas radušās sadarbības partnerim iesaistoties sadarbības tīkla darbībās.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31. punktā noteikto, no kā var saprast, ka sadarbības partnera iesaistes gadījumā šo noteikumu 26.4., 26.5., 25.6. apakšpunktos minētās izmaksas tiks segtas sadarbības partnerim no šajā pasākumā paredzētā publiskā finansējuma, taču tas tiks uzskaitīts, kā atbalsts finansējuma saņēmējam, tas būtu uzskatāms par komercdarbības atbalsta kontroles regulējuma pārkāpumu. Tā kā noteikumu projekta ietvaros atbalsts finansējuma saņēmējam tiek sniegts kā de minimis atbalsts, lūdzam precizēt noteikumu projekta 31. punktu, nodrošinot korektu komercdarbības atbalsta uzskaites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Pievienotās vērtības nodokļa izmaksas finansējuma saņēmējs sedz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ietvaros atbalsts ir paredzēts arī sadarbības tīkla dalībniekiem, lūdzam papildināt normu arī attiecībā uz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Sadarbības tīkls un sadarbības tīkla dalībnieki nesaņem un neparedz saņemt atbalstu par tām pašām attiecināmajām izmaksām citu programmu ietvaros no Eiropas Savienības vai citiem publiskajiem līdzekļiem, tai skaitā valsts un pašvaldību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36. punkta mērķis pēc būtības ir aizliegt kumulācijas iespējamību, un, ņemot vērā, ka atbalsta kumulācija ir iespējama gan par tām pašām attiecināmajām izmaksām, gan par citas atbalsta programmas ietvaros piešķirto finansējumu, lūdzam precizēt noteikumu projekta 36. punktu, piemēram, piedāvātajā redakcijā. Vienlaikus, vēršam uzmanību, ka norma ir izteikta ļoti strikti - principā tā paredz, ka nākotnē sadarbības tīkli vai to dalībnieki nevarēs vairs saņemt nekādu citu publisko atbalstu. Lūdzam izvērtēt, vai tiešām ne sadarbības tīkli, ne to dalībnieki nedrīkstēs pretendēt nākotnē uz citu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tīkls un sadarbības tīkla dalībnieki nesaņem un neparedz saņemt atbalstu, </w:t>
            </w:r>
            <w:r w:rsidR="00000000" w:rsidRPr="00000000" w:rsidDel="00000000">
              <w:rPr>
                <w:u w:val="single"/>
                <w:rtl w:val="0"/>
              </w:rPr>
              <w:t xml:space="preserve">tai skaitā</w:t>
            </w:r>
            <w:r w:rsidR="00000000" w:rsidRPr="00000000" w:rsidDel="00000000">
              <w:rPr>
                <w:rtl w:val="0"/>
              </w:rPr>
              <w:t xml:space="preserve"> par tām pašām attiecināmajām izmaksām citu programmu ietvaros no Eiropas Savienības vai citiem publiskajiem līdzekļiem, tai skaitā valsts un pašvaldību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Aģentūra izsludina projektu iesniegumu konkursu tīmekļa vietnē  www.cfla.gov.lv, kā arī ievietojot sludinājumu oficiālajā izdevumā “Latvijas Vēstnesis”. Publikācijā norāda informāciju par projektu iesniegumu atlases uzsākšanu, pagarināšanu, pārtraukšanu vai izbeigšanu, kā arī projektu iesniegumu iesniegšanai termiņu, kas nevar būt īsāks par trīs mēnešiem no publikācijas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terminoloģijas nolūkos lūdzam vārdu "konkursu" aizstāt ar vārdu atlasi, un vārdu savienojumu "no publikācijas dienas" ar vārdu savienojumu "no atlases izsludināšanas dienas" (ņemot vērā, ka atlases izsludināšanas diena var būt pēc publikācijas).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Projektu iesniegumu vērtēšanu sāk pēc projektu iesniegumu iesniegšanas termiņa beigām. Projekta iesniegums, kas iesniegts pēc projektu iesniegumu iesniegšanas beigu datuma, netiek vērtēts. Aģentūra par to rakstiski informē projekta iesniedzēju.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KPVIS funkcionalitāte ļauj nodrošināt, ka projekta iesniegumu iespējams iesniegt tikai līdz noteiktajam termiņam, tad pēc norādītā termiņa projekta iesnieguma iesniegšana tehniski nebūs iespējama. Līdz ar to 38.punkta pēdējais teikums ir lieks un lūdzam to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Projektu iesniegumu vērtēšanas komisija projektu iesniegumu atlases termiņā saņemtos projektu iesniegumus vērtē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iekļautajiem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teikumu: "[..] vērtēšanas kritērijiem, tostarp 3.pielikumā noteikto projektu iesniegumu rindošanas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projektu iesniegumu atlases procesā izveidojas pieejamā finansējuma atlikums, kas nav pietiekams secīgi nākamā projekta atbalstīšanai, vai projekta iesniedzējs atsakās īstenot projektu ar samazinātu finansējumu, tad aģentūra izsludina jaunu projektu iesniegumu atlasi.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41.punktā noteikto attiecībā uz jaunas atlases izsludināšanu – 5.1.1.2.i investīcijā nav paredzēta papildu atlases kārta, līdz ar ko jaunas kārtas izsludināšana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Aģentūra, pamatojoties uz projektu iesniegumu vērtēšanas komisijas sniegto atzinumu, pieņem lēmumu par projekta iesnieguma apstiprināšanu, apstiprināšanu ar nosacījumu vai noraidīšanu ne vēlāk kā mēneša laikā no projektu iesnieguma iesniegšanas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iespējams viennozīmīgi noteikt vērtējamo PI skaitu un satura apjomu, kā arī ņemot vērā, ka procesu CFLA kā valsts pārvaldes iestādē regulē Administratīvā procesa likums, lūdzam dzēst teikuma daļu “ne vēlāk kā mēneša laikā no projektu iesnieguma iesniegšanas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Lēmumu par projekta iesnieguma apstiprināšanu ar nosacījumu pieņem, ja projekta iesniedzējam jāveic aģentūras noteiktās darbības, lai projekta iesniegums pilnībā atbilstu projektu iesniegumu vērtēšanas kritērijiem. Ja kāds no lēmumā noteiktajiem nosacījumiem netiek izpildīts vai netiek izpildīts lēmumā noteiktajā termiņā, vai ja projekta iesniedzēja iesniegtās informācijas dēļ projekta iesniegums neatbilst projektu iesniegumu vērtēšanas kritērijiem, projekta iesniegums uzskatāms par noraidītu. Savukārt, ja nosacījumi tiek izpildīti, aģentūra izdod atzinumu par lēmumā noteikto nosacījumu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43. Punkta pirmo teikumu izteikt šādā redakcijā: "Lēmumu par projekta iesnieguma apstiprināšanu ar nosacījumu pieņem, ja projekta iesniedzējam jāveic aģentūras noteiktās darbības, lai projekta iesniegums pilnībā atbilstu </w:t>
            </w:r>
            <w:r w:rsidR="00000000" w:rsidRPr="00000000" w:rsidDel="00000000">
              <w:rPr>
                <w:b w:val="1"/>
                <w:rtl w:val="0"/>
              </w:rPr>
              <w:t xml:space="preserve">precizējamajiem</w:t>
            </w:r>
            <w:r w:rsidR="00000000" w:rsidRPr="00000000" w:rsidDel="00000000">
              <w:rPr>
                <w:rtl w:val="0"/>
              </w:rPr>
              <w:t xml:space="preserve"> projektu iesniegumu vērtēšanas kritērijiem." Vēršam uzmanību, ka 3.pielikumā ir norādīti arī neprecizējami kritēriji.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Lēmumu par projekta iesnieguma noraidīšanu pieņem, ja ir iestājies vismaz viens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jaunu apakšpunktu, nosakot, ka projekta iesniegums ir noraidāms, ja tas neatbilst kādam no neprecizējamajiem vērtēšanas kritērijiem vai nesaņem šo noteikumu 3. pielikumā ietvertajos kvalitātes kritērijos noteikto minimālo nepieciešamo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Aģentūras  lēmumu par projekta iesnieguma apstiprināšanu ar nosacījumiem vai noraidīšanu projekta iesniedzējs var apstrīdēt Finanšu ministrijā viena mēneša laikā no lēmuma spēkā stāšanās dienas. Projekta iesniedzējs Finanšu ministrijas pieņemto lēmumu var pārsūdzēt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ir nepieciešams atrunāt kārtību, kādā pēc lēmuma pieņemšanas par projekta iesnieguma apstiprināšanu informē līgumslēdzēju par līgumslēgšanas procesa uzsākšanas nepieciešamību. Lūgums skaidrot šī nosacījuma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15. punktā minētajā līgumā iekļauj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nosakot, ka līgumā ir jāiekļauj arī informācija par plānoto maksājumu pieprasījumu iesniegšanas grafika iesniegšanas kārtību un iepirkumu plānu iesniegšanas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un sadarbības tīkla dalībnieki projekta īstenošanai nepieciešamo preču un pakalpojumu iegādi veic saskaņā ar normatīvajiem aktiem iepirkuma procedūras jomā, īstenojot atklātu, pārredzamu,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drīkst iekļaut sadarbības tīkla sadarbības partnera izdevumus atbilstoši 31.punktam. Lūdzu papildināt, ka 51.punkts attiecas arī uz sadarbības tīkla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Sadarbības partneri projekta ietvaros drīkst saņemt tikai nefinanšu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skaidrojumu, kā tiks nodrošināta korekta de minimis atbalsta uzskaite, ņemot vērā to, ka sadarbības partneri projekta ietvaros drīkst saņemt tikai nefinanšu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 ne vēlāk kā divu mēnešu laikā pēc šo noteikumu stāšanās spēkā savā tīmekļa vietnē publicēt nozares ministrijas izstrādāto projektu iesniegumu vērtēšanas kritēriju piemērošanas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visu uz atlasi attiecināmo regulējumu nepieciešams ietvert MK noteikumos, tādēļ lūdzam dzēst šo punktu, tā vietā papildinot 3.pielikumu ar kritēriju skaidrojumiem un tādējādi izvairoties no nelietderīgas papildu dokumentu ražošanas.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 izsludināt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aģentūra ne vien izsludina atlasi, bet veic arī turpmākās atlases darbības, lūdzam izteikt 58.3.apakšpunktu šādā redakcijā: “veikt projektu iesniegumu atlasi” (skatīt iebildumu pie 13.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58.5. veikt finansējuma saņēmēja iesniegto maksājumu pieprasījumu pārbaudi atbilstoši maksājumu pieprasījumu izvērtēšanas metodoloģijai, veikt maksājumus finansējuma saņēmējiem;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Atveseļošanas fonda ietvaros, CFLA veic maksājumus finansējuma saņēmējiem, pamatojoties uz CID rādītāju progresu, lūdzam skaidrot, uz kāda pamata CFLA veiks maksājumus finansējuma saņēmējiem, ja šo MK noteikumu ietvaros projektos nav paredzēti Atveseļošanas fonda sasniedzamie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 nodrošināt, ka finansējuma saņēmējs ievēro ar Atveseļošanas fonda plāna īstenošanu saistītās un šo noteikumu 15. punktā minētajā līgumā noteiktās prasības. Ja aģentūra konstatē, ka minētās prasības netiek ievērotas, aģentūra pret finansējuma saņēmēju veic attiecīgas korektīvās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 aģentūras pienākums nevar būt nodrošināt, ka finansējuma saņēmējs pilda līgumā vai jebkur citur noteiktās prasības. Vienlaikus šis punkts disonē ar 79.1.apakšpunktā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58.9. veikt pārbaudes projektu īstenošanas vietās;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58.9. un 58.10. apakšpunktā noteikto pienākumu, izsakot tos atsevišķā punktā kā aģentūras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 izstrādāt projektu iesniegumu vērtēšanas kritēriju piemērošanas metodiku, iesniegt aģentūrai publicēšanai aģentūras tīmekļa 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iebildumu pie 58.1.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60.2. nodrošināt, ka visā projekta īstenošanas laikā, tas pārstāv ne mazāk kā 30 savstarpēji nesaistītus komersantus;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paredzēta 60.2.apakšpunktā noteiktā pienākuma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60.5. izstrādāt iekšējās kontroles sistēmu (iekšējo kārtību), ietverot tajā informāciju par interešu konflikta, krāpšanas, korupcijas risku un dubultā finansējuma novēršanas mehānismu, lai Atveseļošanas fonda finansējuma ietvaros nepieļautu dubultā finansējuma situāciju pret Eiropas Savienības kohēzijas politikas programmu 2021.–2027.gadam un Eiropas Savienības struktūrfondu un Kohēzijas fonda 2014.–2020.gada plānošanas perioda darbības programmu "Izaugsme un nodarbinātība";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ka sadarbības tīklam jāievēro interešu konflikta novēršanas principi saskaņā ar Komisijas 2018. gada 18. jūlija Regulas (ES)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pantu, caurspīdīguma un vienlīdzības principi, vienlaikus novēršot korupciju, krāpšanu un dubulto finansējumu, ja nepieciešams, veicot atbilstošus korekcijas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paredzēt, ka sadarbības tīkls un tā 26.1  un 26.2. punktā iesaistītie darbinieki paraksta interešu konflikta apliecinājumu, kura forma ir iekļauta šo noteikumu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60.7. ne retāk kā reizi sešos mēnešos nodrošināt datu ievadi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kādu datu ievade finansējuma saņēmējam jāveic.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Finansējumu finansējuma saņēmējam un sadarbības tīkla dalībniekam šo noteikumu 26. punktā minēto izmaksu segšanai sniedz saskaņā ar Komisijas regulu Nr. 1407/2013 un normatīvajiem aktiem par de minimis atbalsta uzskaites, piešķiršanas kārtību un de minimis atbalsta uzskaites veidlapu paraugiem,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pārformulēt 63.punkta redakciju, ņemot vērā ka tā apakšpunktos ietverti arī tādi nosacījumi, kas neizriet no Komisijas regulu Nr. 1407/2013, vai arī tos apakšpunktus, kas neattiecas uz de minimis atbalstu, izdalīt kā atsevišķus punktus.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Finansējuma saņēmējs, pieņemot lēmumu par atbalsta piešķiršanu sadarbības tīkla dalībniekam, pārbauda tā atbilstību šo noteikumu 63. punktā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kāda ir kārtība, ja sadarbības tīkla dalībnieks nepiekritīs finansējuma saņēmēja lēmumam, piemēram, atteikt piešķirt atbalstu. Lūdzam izvērtēt iespēju atrunāt apstrīdēšanas kartību noteikumu projektā vai arī norādīt, kur tā tiks atrunāta.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Maksimāli pieļaujamā Atveseļošanas fonda finansējuma intensitāte no projekta attiecināmajām izmaksām ir 85 %.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nosakot, ka vismaz 15% no projekta attiecināmajām izmaksām ir jābūt privātajam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īstenošanas laikā sadarbības tīkls var saņemt avansa maksājumu līdz 30% no investīcijas kopējā finansējuma, kuru var apgūt 6 mēnešu laikā no saņemšanas brīža saimnieciskā gada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Nepārprotamības nolūkos lūdzam precizēt redakciju, izsakot vai nu “kalendārā gada ietvaros”  vai “finanšu gada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īstenošanas laikā sadarbības tīkls var saņemt avansa maksājumu līdz 30% no investīcijas kopējā finansējuma, kuru var apgūt 6 mēnešu laikā no saņemšanas brīža saimnieciskā gada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norādot, ka avansu var saņemt līdz 30% nevis no investīcijas kopējā finansējuma, bet no Atveseļošanas fonda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Lai saņemtu avansa maksājumu, finansējuma saņēmējs iesniedz aģentūrai avansa pieprasījumu un plānotā avansa apjoma pamatojumu. Avanss tiek saņemts par šo noteikumu 7.1. apakšpunktā minēto mērķu sasniegšanas progresu.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MK noteikumu ietvaros netiek plānotas darbības, kas varētu veicināt 7.1. apakšpunktā norādītā 5.1.1.2.i. investīcijas rādītāja sasniegšanu ( apstiprināti pētījuma projekti), lūdzam precizēt punktu, vai skaidrot, par kādu mērķu sasniegšanas progresu sadarbības tīkli varēs saņemt avansu.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Finansējuma saņēmējs var saņemt vairākus avansus, bet nākamo avansu var saņemt pēc tam, kad iepriekšējais ir apgūts pilnā apmērā. Kopējā avansa summa nedrīkst pārsniegt 90% no kopējā investīcijas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otro teikumu, norādot, ka avansa un starpposma maksājumu kopsumma nevar pārsniegt 90% no kopējā projekta Atveseļošanas fonda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Šo noteikumu ietvaros atbalsts netiek sniegts sadarbības tīkla darlībniekiem, kas pārstāv šo noteikumu 24. punktā minētās nozares. Ja gala labuma guvēji darbojas šo noteikumu 25. punktā minētajās nozarēs, atbalstu drīkst piešķirt tikai tad, ja tiek skaidri nodalītas atbalstāmās darbības un finanšu plūsmas, nodrošinot, ka darbības izslēgtajās nozarēs negūst labumu no investīcijas ietvaros piešķirtā atbalsta.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projekta 3. punktā noteiktais investīcijas mērķis ir veicināt komersantu, pētniecības un zināšanu izplatīšanas organizāciju un citu institūciju sadarbību vietējā un starptautiskā līmenī, palielināt komersantu ieguldījumus attīstībā un inovācijās, tādējādi veicinot uzņēmumu konkurētspējas paaugstināšanos, produktivitātes, eksportspējas celšanu un inovāciju ekosistēmas veidošanos. Līdz ar to aicinām objektīvi izvērtēt, vai pastāv iespēja nodrošināt, ka projekta ietvaros sadarbības tīkla dalībnieki gūst labumu tikai kādā noteiktā nozarē, nevis kā uzņēmums kopumā. Attiecīgi lūdzam dzēst 75. punkta 2. teikumu, kā arī precizēt atsauci pirmajā teikumā, “24” aizstājot ar “25”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Aģentūra, finansējuma saņēmējs un sadarbības tīkla dalībnieks nodrošina ar komercdarbības atbalsta piešķiršanu saistīto dokumentu glabāšanu 10 fiskālos gadus, sākot no dienas, kurā saskaņā ar šo noteikumu projektu piešķirts pēdējais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77. punktu, skaidri nosakot termiņus, kādos katrs no šajos noteikumos minētajiem subjektiem (aģentūra, finansējuma saņēmējs un sadarbības tīkla dalībnieks) nodrošina dokumentu glabāšanu, ņemot vērā to, ka nebūtu pamatoti prasīt finansējuma saņēmējam un sadarbības tīkla dalībniekam, kad tie ir komercdarbības atbalsta saņēmēji, nodrošināt ar komercdarbības atbalsta piešķiršanu saistīto dokumentu glabāšanu 10 fiskālos gadus, sākot no dienas, kurā saskaņā ar šo noteikumu projektu piešķirts pēdējais komercdarbības atbalsts. Šādā termiņā saskaņā ar piemērojamā komercdarbības atbalsta nosacījumiem dokumentācija glabājama tikai atbalsta sniedzējam par tā piešķirto komercdarbības atbalstu. Lūdzam arī normās skaidri izdalīt, ka atbalsta saņēmējs dokumentāciju glabā 10 gadus no brīža, kad tam piešķirts atbalsts, savukārt atbalsta sniedzējs 10 gadus no pēdējā piešķirtā atbalsta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investīcijas īstenošanas laikā rodas neattiecināmie izdevumi vai sadārdzinās izmaksas, finansējuma saņēmējs apņemas tos segt no paša rīcībā esošajiem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78.punktā precizēt - no AF neattiecināmi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attiecībā uz sadarbības tikla dalībniekam piešķirto atbalstu ir pārkāptas šajos noteikumos noteiktās komercdarbības atbalsta kontroles normas, tostarp nosacījumi, kas izriet no Komisijas regulas Nr.1407/2013, sadarbības tīkla dalībniekam ir pienākums atmaksāt finansējuma saņēmējam visu projekta ietvaros saņemto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nelikumīgs atbalsts konstatēts attiecībā uz finansējuma saņēmējam piešķirto atbalstu, tas atmaksā to aģentūrai kā atbalsta sniedzējam. Ja savukārt nelikumīgs atbalsts konstatēts attiecībā uz sadarbības tīkla dalībniekam piešķirto atbalstu, tas atmaksā to finansējuma saņēmējam. No noteikumu projekta nav skaidrs, kā finansējuma saņēmējs rīkojas ar tam atmaksāto nelikumīgā atbalsta apmēru. Lūdzam papildināt noteikumu projektu, nosakot, ka nelikumīgo atbalstu, kuru šo noteikumu ietvaros finansējuma saņēmējs atguvis no tīkla dalībnieka, tas atmaksā aģentūrai.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3.pielikumā esošos kritērijus papildināt ar izsmeļošiem to piemērošanas skaidrojumiem (skatīt iebildumu arī pie 58.1.apakšpunkta).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 pielikumā pievienotajios vērtēšanas kritērijos veikt šādus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Dzēst vienoto kritēriju Nr.1 – ja projekta iesniegums nebūs iesniegts KPVIS, tas nenonāks līdz vērtēšanai, tādējādi visiem vērtējamajiem projektu iesniegumiem tiks sniegts vērtējums "Jā" un kritērijam zūd jēga (pārliecināties par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Vienotais kritērijs Nr.2 - ja investīcijā tiks paredzēts sadarbības partneris, tad tā atbilstība būtu pārbaudāma arī šī kritērija ietvaros, līdz ar to būs nepieciešams precizēt kritērija nosaukumu (skatīt arī iebildumu MK noteikumu projekta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Veidojot vienotā kritērija Nr. 2 piemērošanas skaidrojumu, lūdzu paredzēt arī, vai un kā vērtējams pētniecības un zināšanu izplatīšanas organizācijas statuss sadarbības tīkla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vienoto kritēriju Nr. 3, nosakot specifiskas prasības kapacitātei – pietiekama kapacitāte ir subjektīvs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Dzēst vienoto kritēriju Nr. 4 - projekta iesniegums tiks iensiegts KPVIS, līdz ar to dokumenta oriģināla juridiskā spēka jautājums nav 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vienoto kritēriju Nr. 5 ar šādā redakcijā: "Projekta iesnieguma veidlapa ir pilnībā aizpildīta latviešu valodā, projekta iesniegumam ir pievienoti visi  projektu iesniegumu atlases nolikumā noteiktie iesniedzamie dokumenti, tie ir noformēti atbilstoši elektronisko dokumentu apriti regulējošo normatīvo aktu prasībām, sagatavoti latviešu valodā vai tiem ir pievienots tulkojums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apvienot vienotos kritērijus Nr. 6, Nr. 7 un Nr.8 vienā kritērijā;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Lūdzam apvienot vienotos kritērijus Nr. 9 un Nr. 13, ņemot vērā, ka darbības un izmaksas skatāmas saistīti;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Lūdzam apvienot vienotos kritērijus Nr.11 un Nr.12, ņemot vērā, ka mērķis un rezultāti skatāmi siastīti;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Aicinām izvērtēt vienotā kritērija Nr. 14 atbilstību – MK noteikumos publicitātes regulējumā ietverta atsauce uz Regulu Nr. 2021/241, ar ko izveido Atveseļošanas un noturības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Lūdzam papildināt specifisko kritēriju Nr. 1 ar konkrētiem vērtējamiem aspektiem, kas atspoguļotu saturisko kvalitāti. Vienlaikus vēršam uzmanību, ka stratēģijas ieviešanas plāna vērtēšana kritērijos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Veidojot specifiskā atbilstības kritērija Nr. 2 piemērošanas skaidrojumu,  lūdzam norādīt atsauces uz MK noteikumu punktiem, kuros norādītas atbilstošās/neatbilstošās nozares,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Lūdzam dzēst specifisko atbilstības kritēriju Nr. 4, ņemot vērā, ka CFLA nepieņem lēmumu par komercdarbības atbalsta piešķiršanu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specifiskie atbilstības kritēriji Nr. 5 un Nr. 6 – neietekmē izmaksu attiecināmību, aicinām dzēst. Vienlaikus vēršam uzmanību, ka šīs tēmas visticamāk tiks atspoguļotas stratēģijā, kas tiek vērtēta specifiskā atbilstības kritērija Nr.1 ietvaros, līdz ar ko nav nepieciešams šo vērtējumu dublēt;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Lūdzam no kvalitātes kritērija Nr. 1 apakškritērijiem Nr. 1.1.–1.6. nosaukumiem dzēst vārdus "Sadarbības tīkla dalībnieku kopējais neto gada apgrozījums", jo tas rada pretrunu ar kritērija nosaukumā minēto "vidējo" apgrozījumu. Vienlaikus vēršam uzmanīub, ka neviens no vērtējamajiem projekta iensiegumiem nebūs atbilstošs 1.6. apakškritērijam - ja sadarbības tīkla apgrozījums būs mazāks par 40 mlj. </w:t>
            </w:r>
            <w:r w:rsidR="00000000" w:rsidRPr="00000000" w:rsidDel="00000000">
              <w:rPr>
                <w:i w:val="1"/>
                <w:rtl w:val="0"/>
              </w:rPr>
              <w:t xml:space="preserve">euro</w:t>
            </w:r>
            <w:r w:rsidR="00000000" w:rsidRPr="00000000" w:rsidDel="00000000">
              <w:rPr>
                <w:rtl w:val="0"/>
              </w:rPr>
              <w:t xml:space="preserve">, tad projekta iensiegums tiks noraidīts jau vienotajā kritērijā Nr. 1 (jo sadarbības tīkls nebūs atbilstošs prasībām) un kvalitātes kritēriju vērtēšana tam netiks veikta (tāpat arī kvalitātes kritērijā Nr. 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Kvalitātes kritērijos Nr.2.1.–2.3. “Sadarbības tīkla dalībnieku kopējais eksporta apjoms ir 18-27,99 miljoni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kvalitātes kritēriju piemērošanas skaidrojumu, lūdzam nepārprotami noteikt, ka kvalitātes kritēriju aprēķinos netiek ņemti to sadarbības tīkla dalībnieku dati, kas nav MVU (vai lūdzam precizēt kritēriju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Lūdzam dzēst vārdus "sadarbības tīkla sadarbības partneris" no kvalitātes kritērija Nr. 3 (vai sniegt skaidrojumu sadarbības partnera pieminēšanai šajā kritērijā);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Dzēst kvalitātes kritēriju Nr. 5 un tā apakškritērijus izveidot kā specifiskā atbilstības kritērija Nr. 1 apakškritērijus. Piedāvātā punktu skala (1–5) par stratēģijas saturu ir plašs tvērums un var radīt subjektīvu vērtējumu. Vienlaikus vēršam uzmanību, ka nav pamata piešķirt punktus par minimālo prasību izpildi (visi kvalitātes kritērijos Nr. 5.1.–5.6. vērtējamie aspekti ir atspoguļojami stratēģijā kā obligāts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Lūdzam kvalitātes kritērija Nr. 6.1. ievaddaļu izteikt šādā redakcijā: "Samazinot intensitāti par vienu pilnu procentpunktu, [..]", lai novērstu interpretācijas iespējas par intensitātes noapaļošanas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Lūdzam kvalitātes kritēriju ranžējuma aprakstā ievaddaļu izteikt šādā redakcijā: "Ja vairākiem projektu iesniegumiem ir piešķirts vienāds punktu skaits, tad prioritāri ir atbalstāms projekta iesniegums, kas saņēmis lielāku punktu skaitu kvalitātes kritērijā “Sadarbības tīkla dalībnieku (savstarpēji nesaistītu sīko (mikro), mazo un vidējo komersantu) kopējais eksporta apjoms vidēji pēdējo triju gadu laikā”, [..]". Šobrīd lietotais termins "salīdzināt" nav sinonīms projektu apstiprināšanai prioritārā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noteikt projektu iesniegumu kvalitātes vērtēšanas kritērijus, lai nodrošinātu plānoto ieguldījumu atbilstību dzimumu līdztiesības un vienlīdzīgu iespēju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saskaņā ar apstiprināto AF plānu klasteriem jābūt izveidotiem RIS 3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precīzāku informāciju par sadarbības tīklu sasaisti, sinerģiju un demarkāciju ar citu atbalsta instrumentu investīcijām, kā arī dubultfinansējuma riska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šāda nosacījuma - </w:t>
            </w:r>
            <w:r w:rsidR="00000000" w:rsidRPr="00000000" w:rsidDel="00000000">
              <w:rPr>
                <w:i w:val="1"/>
                <w:rtl w:val="0"/>
              </w:rPr>
              <w:t xml:space="preserve">anotācijā un Ministru kabineta noteikumu projektā iekļautā informācija ir balstīta uz Finanšu ministrijā iesniegtajiem Atveseļošanas fonda grozījumiem</w:t>
            </w:r>
            <w:r w:rsidR="00000000" w:rsidRPr="00000000" w:rsidDel="00000000">
              <w:rPr>
                <w:rtl w:val="0"/>
              </w:rPr>
              <w:t xml:space="preserve"> - iekļaušanu anotācijā, vēršam uzmanību, ka gan MKN projektam, gan tā anotācijai ir jāatbilst spēkā esošajai AF plāna un CID redakcijai un tā saistošajiem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AF plāna 2.pielikumā noteiktā kategorija ir 008 – pētniecības un inovācijas pasākumi mazos un vidējos uzņēmumos, tostarp tīklu 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gala labuma guvēji ir sīkie (mikro), mazie, vidējie, lielie komersanti (t.sk. valsts kapitālsabiedrības), pētniecības un zināšanu izplatīšanas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terminoloģiju, jo no noteikumu projekta saprotams, ka komercdarbības atbalsta saņēmēji ir finansējuma saņēmējs un sadarbības tīkla dalībnieki, kuriem attiecināmās izmaksas noteiktas noteikumu projekta 36. punktā. Termins 'gala labuma guvēji' netiek noteikumu projektā lietots/ nav definēts.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Kopējais plānotais attiecināmais Atveseļošanas fonda finansējums ir 5 248 431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MKN struktūru veidot atbilstoši 1.punktā noteiktajam saturam. Attiecīgi veidot sadaļu “Investīcijai pieejamais finansējums”, norādot visu atbilstošo informāciju, tai skaitā pārceļot informāciju par projekta iesnieguma maksimāli pieļaujamo AF finansējuma apmēru, intensitāti no projekta attiecināmajām izmaksām (šobrīd 68.,70.punkts).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kopējais rādītājs: atbalstītie uzņēmumi (no tiem sīkie (mikro), mazie, vidējie un lielie).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salāgot MK noteikumu projekta 7.3.apakšpunktā noteiktā rādītāja redakciju ar ANM plāna kopējos rādītājos norādīto redakciju "Atbalstītie uzņēmumi (tai skaitā – mazi uzņēmumi, tostarp mikrouzņēmumi, vidēji uzņēmumi un lieli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reģistrēta Latvijas Republikas Uzņēmumu reģistra biedrību un nodibinājumu reģistrā;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vārdu "reģistrēta" aizstājot ar "reģistrēts".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17.4.1. savstarpēji nesaistītu sīko (mikro), mazo un vidējo komersantu neto apgrozījums vidēji pēdējo triju gadu laikā ir ne mazāks kā 40 milj. euro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redakciju, nepārprotami norādot, ka prasības izpildei ņemami vērā to pēdējo trīs gadu pārskatu dati, kas noslēgti līdz projekta iesnieguma iesniegšanas dienai (atbilstoši lūdzam šo informāciju paredzēt arī vienotā kritērija Nr.2 un kvalitātes kritērija Nr. 1 piemērošanas skaidrojumā).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vadības un personāla atlīdzības izmaksas (projekta vadības personāla atlīdzības izmaksas par projekta ietvaros veicamo darbību plānošanu, koordinēšanu, kontroli, izmaksas par projekta dokumentācijas nodrošināšanu atbilstoši Eiropas Savienības un nacionāla līmeņa tiesību aktos noteiktajām prasībām, projekta iepirkumu organizēšanas un kontroles izmaksas, tai skaitā valsts sociālās apdrošināšanas obligātās iemaksas) no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26.1. apakšpunkta redakciju, tostarp pārskatot teikuma vārdu savienojuma “no attiecināmajām izmaksām” lietderību (vai domāts kāds procentuālais apmērs no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 piesaistot projekta vadības personālu uz darba līguma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26.1.1. un 26.1.2. sadalījuma lietderību (komentārs attiecināms arī uz  26.2.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Par šo noteikumu 26.6. apakšpunktā minētajām izmaksām sadarbības tīkls informē Latvijas investīciju un attīstības aģentūru, lai nodrošinātu, ka līdzīgas izmaksas netiek apmaksātas no Latvijas investīciju un attīstības aģentūras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iekļaujot informāciju par to, kad un cik bieži notiek šāda informēšana.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Silva Blite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26.1. apakšpunktā noteiktās izmaksas ir attiecināmas atbilstoši nozares ministrijai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aizstājot vārdus "vadošo iestādi" ar vārdiem "Finanšu ministriju kā koordinējošo iestādi" atbilstoši Ministru kabineta 2021.gada 7.septembra noteikumu Nr.621 2.1.1.apakšpunktā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Silva Blite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Uz finansējuma saņēmēja </w:t>
            </w:r>
            <w:r w:rsidR="00000000" w:rsidRPr="00000000" w:rsidDel="00000000">
              <w:rPr>
                <w:i w:val="1"/>
                <w:rtl w:val="0"/>
              </w:rPr>
              <w:t xml:space="preserve">de minimis</w:t>
            </w:r>
            <w:r w:rsidR="00000000" w:rsidRPr="00000000" w:rsidDel="00000000">
              <w:rPr>
                <w:rtl w:val="0"/>
              </w:rPr>
              <w:t xml:space="preserve"> atbalstu attiecina šo noteikumu 26.1., 26.2. un 26.5. apakšpunktā minētās izmaksas un šo noteikumu 26.3., 26.4., 26.6., 26.7. apakšpunktos minētās izmaksas, ja tās attiecas uz paša sadarbības tīkla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29. un 30. punktu pārcelt uz MK noteikumu nodaļu “Ar komercdarbības atbalsta saņemšanu saistītie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Uz finansējuma saņēmēja </w:t>
            </w:r>
            <w:r w:rsidR="00000000" w:rsidRPr="00000000" w:rsidDel="00000000">
              <w:rPr>
                <w:i w:val="1"/>
                <w:rtl w:val="0"/>
              </w:rPr>
              <w:t xml:space="preserve">de minimis</w:t>
            </w:r>
            <w:r w:rsidR="00000000" w:rsidRPr="00000000" w:rsidDel="00000000">
              <w:rPr>
                <w:rtl w:val="0"/>
              </w:rPr>
              <w:t xml:space="preserve"> atbalstu attiecina šo noteikumu 26.1., 26.2. un 26.5. apakšpunktā minētās izmaksas un šo noteikumu 26.3., 26.4., 26.6., 26.7. apakšpunktos minētās izmaksas, ja tās attiecas uz paša sadarbības tīkla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uzskaitīto noteikumu projekta apakšpunktu uzskaitījumu ar atsauci uz noteikumu projekta 26. punktu, jo pēc būtības jau šobrīd esošā noteikumu projekta 29. punkta norma aptver visas 26. punkta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15. punktā minētajā līgumā iekļauj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līgumā nebūtu iekļaujama arī informācija par projekta sadarbības partneriem, ja tādi investīcijā tiks paredzēti (skatīt iebildumu pie MK notiekumu 2.3.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Finansējuma saņēmējs projekta īstenošana laikā drīkst veikt grozījumus stratēģijas ieviešanas darbības plānā reizi gadā. Gadījumā, ja iestājas nepārvarama vara vai ārkārtēji apstākļi, iespējams veikt papildus grozījumus stratēģijas ieviešanas darbības plānā, to pamatojot.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49. punktu ar nosacījumiem, kas būtu ievērojami šādu grozījumu gadījumā (piemēram, vai tie jāskaņo ar nozares ministriju,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Sadarbības tīkls informācijas un publicitātes pasākumus nodrošina saskaņā ar Eiropas Parlamenta un Padomes 2021. gada 12. februāra Regulas (ES) Nr. 2021/241, ar ko izveido Atveseļošanas un noturības mehānismu (turpmāk – Komisijas regula Nr. 2021/241) 10.pantu.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skaitli un vārdu "10.pantu" ar skaitļiem un vārdiem "34. pantu un Eiropas Komisijas un Latvijas Republikas Atveseļošanas un noturības mehānisma finansēšanas nolīguma 10.pantu".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 novērst korupciju, krāpšanu un interešu konfliktu saskaņā ar  Komisijas regulas Nr. 2018/1046 61.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Regulas Nr.2018/1046 61.pants attiecas arī uz korupcijas un krāpšanas novēršanu jeb redakcija ir sašaurināma tikai uz interešu konfliktu (panta nosaukums un saturs par interešu konfliktu vadību un novēršanu).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Silva Blite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lietderību vienoto un specifisko kritēriju grupu sadalīšanai, ņemot vērā, ka tie tiek izstrādāti un vērtēti pēc vienādiem principiem, līdz ar to atšķiras tikai grupas nosaukums (kvalitātes kritēriju kā atsevišķas kritēriju grupas izdalīšana ir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3.pielikuma sadaļas "Vienotie kritēriji" 7.punktā vārdu "ES" ar vārdu "Atveseļošanas". Attiecīgu precizējumu lūdzam veikt arī tālāk tekstā. Papildus lūdzam papildināt 3.pielikumu ar zemsvītras atsauci, kur tiek norādīts Atveseļošanas fonda pilnais nosaukums, t.i., Atveseļošanas un noturības mehānisms.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3.pielikuma sadaļas "Vienotie kritēriji" 14.punktā vārdus "Eiropas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normatīvajiem aktiem par kārtību, kādā 2021.–2027. gada plānošanas perioda” ar vārdiem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3.pielikuma sadaļas "Kvalitātes kritēriji" 4.1.apakšpunktā vārdus vārdu "EUR" ar vārdu "euro". Attiecīgu precizējumu lūdzam veikt arī tālāk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Objektivitātes, konfidencialitātes un interešu konflikta neesamības apliecinājums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4.pielikuma otrajā rindkopā skaitli "966/201261." ar skaitļiem "966/2021 61."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anotācijas 1.1.sadaļas "Pamatojums" apakšsadaļā "Apraksts" skaitli un vārdu "19.3 panta" ar skaitli un vārdu "19.</w:t>
            </w:r>
            <w:r w:rsidR="00000000" w:rsidRPr="00000000" w:rsidDel="00000000">
              <w:rPr>
                <w:vertAlign w:val="superscript"/>
                <w:rtl w:val="0"/>
              </w:rPr>
              <w:t xml:space="preserve">3</w:t>
            </w:r>
            <w:r w:rsidR="00000000" w:rsidRPr="00000000" w:rsidDel="00000000">
              <w:rPr>
                <w:rtl w:val="0"/>
              </w:rPr>
              <w:t xml:space="preserve"> (prim)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labot principa "</w:t>
            </w:r>
            <w:r w:rsidR="00000000" w:rsidRPr="00000000" w:rsidDel="00000000">
              <w:rPr>
                <w:i w:val="1"/>
                <w:rtl w:val="0"/>
              </w:rPr>
              <w:t xml:space="preserve">nenodari būtisku kaitējumu</w:t>
            </w:r>
            <w:r w:rsidR="00000000" w:rsidRPr="00000000" w:rsidDel="00000000">
              <w:rPr>
                <w:rtl w:val="0"/>
              </w:rPr>
              <w:t xml:space="preserve">" redakciju uz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 (Laura Naudiņa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22.11.2022. 21.08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22.11.2022. 21.08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Atzinumi_22-TA-2458.docx</dc:title>
</cp:coreProperties>
</file>

<file path=docProps/custom.xml><?xml version="1.0" encoding="utf-8"?>
<Properties xmlns="http://schemas.openxmlformats.org/officeDocument/2006/custom-properties" xmlns:vt="http://schemas.openxmlformats.org/officeDocument/2006/docPropsVTypes"/>
</file>