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2026. gadam un budžeta ietvaru 2026., 2027. un 2028. gadam” resora “Ministru kabinets” budžeta programmā 01.00.00 “Ministru kabineta darbības nodrošināšana, valsts pārvaldes politika” 2024.-2026.gada prioritārā pasākuma "Pilsoniskā dialoga platformas izveide, stiprinot Nevalstisko organizāciju un Ministru kabineta sadarbības memoranda īstenošanas padomes darbību" īstenošanai ir paredzēts finansējums 2026.gadā 200 000 </w:t>
            </w:r>
            <w:r w:rsidR="00000000" w:rsidRPr="00000000" w:rsidDel="00000000">
              <w:rPr>
                <w:i w:val="1"/>
                <w:rtl w:val="0"/>
              </w:rPr>
              <w:t xml:space="preserve">euro</w:t>
            </w:r>
            <w:r w:rsidR="00000000" w:rsidRPr="00000000" w:rsidDel="00000000">
              <w:rPr>
                <w:rtl w:val="0"/>
              </w:rPr>
              <w:t xml:space="preserve"> apmērā, 2027.gadā un turpmāk ik gadu 100 000 </w:t>
            </w:r>
            <w:r w:rsidR="00000000" w:rsidRPr="00000000" w:rsidDel="00000000">
              <w:rPr>
                <w:i w:val="1"/>
                <w:rtl w:val="0"/>
              </w:rPr>
              <w:t xml:space="preserve">euro</w:t>
            </w:r>
            <w:r w:rsidR="00000000" w:rsidRPr="00000000" w:rsidDel="00000000">
              <w:rPr>
                <w:rtl w:val="0"/>
              </w:rPr>
              <w:t xml:space="preserve"> apmērā. Ņemot vērā, ka noteikumu projekts svītro normas, kas paredz iespēju izmaksāt atlīdzību nevalstisko organizāciju pārstāvjiem, uzskatām, ka jāaizpilda anotācijas 3.sadaļa, sniedzot informāciju par projekta ietekmi uz valsts budžetu. Lūdzam minētajā anotācijas sadaļas tabulā atspoguļot sagaidāmo valsts budžeta līdzekļu ietaupījumu, 6.2.apakspunktā sniegt tam pamatojumu, savukārt punktā “Cita informācija” norādīt kādiem citiem mērķiem tiks novirzīts neizlietotais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