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atbalstīt pētniecību, kas virza Latvijas viedās specializācijas stratēģijas specializācijas jomu attīstību un tautsaimniecības transformāciju par labu produktiem ar augstu pievienoto vērtību un veicina integrāciju globālajās vērtību ķēdēs, kā arī risina sabiedrības izaicinājumus globālo izaicinājumu kontekstā.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atbilstoši ERAF 21-27 periodā darba plāna pielikumos norādītajam 1.1.1. SAM, lai nedublētos ar 1.2.1. 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Pētniecības organizācijas, kas piedalās kopīgos pētniecības projektos - 10;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ar “kopīgie pētniecības projekti” saprotams, ka visiem pētniecības projektiem jābūt īstenotiem starp 2 iesaistītajām pusēm - pētniecības un zināšanu izplatīšanas organizāciju un komersantiem. Nepieciešamības gadījumā aicinām papildināt noteikumu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ar saimniecisku darbību nesaistītiem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 13.1.apakšpunkta nosacījumi ir saistīti ar pasākuma mērķi atbalstīt pētniecību par labu produktiem un augstas pievienotas vērtības veicināšanu, ja atbalsta saņēmēji neveic saimniecisku darbību. Atbilstošo skaidrojumu saistīt arī ar 14.1. 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Pirmajā un otrajā iesniegumu atlases kārtā viena projekta maksimālais publiskā finansējuma apmērs ir 600 000 </w:t>
            </w:r>
            <w:r w:rsidR="00000000" w:rsidRPr="00000000" w:rsidDel="00000000">
              <w:rPr>
                <w:i w:val="1"/>
                <w:rtl w:val="0"/>
              </w:rPr>
              <w:t xml:space="preserve">euro</w:t>
            </w:r>
            <w:r w:rsidR="00000000" w:rsidRPr="00000000" w:rsidDel="00000000">
              <w:rPr>
                <w:rtl w:val="0"/>
              </w:rPr>
              <w:t xml:space="preserve">, minimālais finansējuma apmērs ir 30 000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vai paredzēts ierobežojums pētniecības projektu pieteicējiem pieteikties uz vienu projektu, vai tomēr tiem būs iespējams pieteikt vairākus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atbilst sīkā (mikro), mazā vai vidējā saimnieciskās darbības veicēja definīcijai, ja tas īsteno ar saimniecisku darbību saistītu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17.2. apakšpunktā minēto, ka atbalstu var saņemt lielais komersants, lūdzam atbilstoši precizēt 46.1. apakšpunktu. Vienlaikus aicinām precizēt 47. punktu, to papildinot ar atsauci uz 46.1. apakšpunktu, izvērtējot atsauces pievienošanu uz EK Regulu Nr. 651/2014 28.pantā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Projekta atlases un īstenošanas vispārīgie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nodrošināts, ka izstrādātie projektu ietvaros radītie rezultāti tiks komercializēti un kā tiks nodrošināts, ka nozarei būs kapacitāte ieviest izstrādātos rezultātus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Projekta atlases un īstenošanas vispārīgie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punktu saistībā ar demārkācijas pārbaudēm - pārbaudīt, vai Savienības kohēzijas politikas programmu 2021.–2027. gadam finansējuma ietvaros pētniecības projekta īstenošanā nav konstatējamas pazīmes, kas liecina par pieļautu dubultā finansējuma situāciju pret Eiropas Atveseļošanas Fondu un Eiropas Savienības struktūrfondu un Kohēzijas fonda 2014.–2020. gada plānošanas perioda darbības programmu, tai skaitā pārbaudīt demarkāciju arī starp citiem publiskā finansējuma avotiem, kā arī pārbaudīt, vai nav konstatējamas korupcijas, krāpšanas riska un interešu konflikta pazīmes, ja nepieciešams, veicot darbības to novēršanai un labošanai;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 komersants vai zemnieku saimniecība – primārās lauksaimniecības ražotājs, kas atbilst Komisijas regulas Nr.  651/2014 2. panta 9. punkta vai Eiropas Komisijas 2014. gada 25. jūnija Regulas Nr. 702/2014 ar kuru konkrētas atbalsta kategorijas lauksaimniecības un mežsaimniecības nozarē un lauku apvidos atzīst par saderīgām ar iekšējo tirgu, piemērojot Līguma par Eiropas Savienības darbību 107. un 108. pantu 2. panta 3., 4. un 5. punkta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2.10. apakšpunktā norādīto "komersants" dublējošo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Pasākumu ietvaros finansējuma saņēmējam ir jāuzkrāj šādi RIS3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8. punktā atšifrēt RIS3 terminu, jo iepriekš nav lietots saīsinājums.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Pasākumu ietvaros finansējuma saņēmējam ir jāuzkrāj šādi RIS3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jaunu apakšpunktu, ka pasākuma ietvaros jāuzkrāj RIS3 rādītāji ne tikai par jaunradītajiem produktiem vai tehnoloģijām, bet arī jaunradītajiem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Laurinoviča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17.07.2023. 19.40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17.07.2023. 19.40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Atzinumi_23-TA-611.docx</dc:title>
</cp:coreProperties>
</file>

<file path=docProps/custom.xml><?xml version="1.0" encoding="utf-8"?>
<Properties xmlns="http://schemas.openxmlformats.org/officeDocument/2006/custom-properties" xmlns:vt="http://schemas.openxmlformats.org/officeDocument/2006/docPropsVTypes"/>
</file>