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25. jūnija noteikumos Nr. 407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izvērtējumu par ierosināto attiecināmo izmaksu papildinājuma (Ministru kabineta 2024. gada 25. jūnija noteikumu Nr. 407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 (turpmāk – MK noteikumi) plānotais 37.</w:t>
            </w:r>
            <w:r w:rsidR="00000000" w:rsidRPr="00000000" w:rsidDel="00000000">
              <w:rPr>
                <w:vertAlign w:val="superscript"/>
                <w:rtl w:val="0"/>
              </w:rPr>
              <w:t xml:space="preserve">1</w:t>
            </w:r>
            <w:r w:rsidR="00000000" w:rsidRPr="00000000" w:rsidDel="00000000">
              <w:rPr>
                <w:rtl w:val="0"/>
              </w:rPr>
              <w:t xml:space="preserve"> punkts) ietekmi uz pasākuma mērķa un noteikto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 (Linda Liepa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Izglītības un zinātnes ministriju (turpmāk – IZM) anotācijas 1.3. sadaļas apakšsadaļā “Risinājuma apraksts” par RIS3 rādītāju redakcionālu precizēšanu atbilstoši Ekonomikas ministrijas izstrādātajām vadlīnijām "Vadlīnijas par viedās specializācijas stratēģijas jomas noteikšanu un monitoringa veikšanu", šo informāciju papildināt ar vadlīniju izstrādes un saskaņošanas gadu, iekavās norādot 2024.gadu.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 407 8.6. – 8.15. apakšpunktā ietvertie RIS3 rādītāji redakcionāli precizēti atbilstoši Ekonomikas ministrijas izstrādātajām vadlīnijām "Vadlīnijas par viedās specializācijas stratēģijas jomas noteikšanu un monitoringa veikšanu" </w:t>
            </w:r>
            <w:r w:rsidR="00000000" w:rsidRPr="00000000" w:rsidDel="00000000">
              <w:rPr>
                <w:u w:val="single"/>
                <w:rtl w:val="0"/>
              </w:rPr>
              <w:t xml:space="preserve">(2024)</w:t>
            </w:r>
            <w:r w:rsidR="00000000" w:rsidRPr="00000000" w:rsidDel="00000000">
              <w:rPr>
                <w:rtl w:val="0"/>
              </w:rPr>
              <w:t xml:space="preserve">. Uz MK noteikumu Nr. 407 apstiprināšanas brīdi Ekonomikas ministrijas izstrādātās vadlīnijas   “Vadlīnijas par viedās specializācijas stratēģijas jomas noteikšanu un monitoringa veikšanu” (turpmāk - RIS3 vadlīnijas), tai skaitā RIS3 rādītāju redakcijas, atradās saskaņošanas procesā, līdz ar to MK noteikumos Nr. 407 ir iekļauti RIS3 rādītāji, kas neatbilst pēdējai saskaņotajai RIS3 rādītāju redakcijai RIS3 vadlīniju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norisinās 1.1.1.3. pasākuma "Praktiskas ievirzes pētījumi" projektu iesniegumu atlases 1. kārta, kur projektu iesniegumu iesniegšanas termiņš noteikts 2024. gada 20. novembris, lūdzam anotācijā sniegt skaidrojumu, kāda ir plānoto grozījumu ietekme uz projektu iesniegumu atlasi, un kā tiks informēti potenciālie finansējuma saņēmēji par veiktajām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8.7.1.2. kapitālizdevumi – intelektuālā īpašuma tiesības, datoru programmatūra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izstrādātajās vadlīnijās "Vadlīnijas par viedās specializācijas stratēģijas jomas noteikšanu un monitoringa veikšanu" RIS3 rādītāja nosaukums ir "kapitālizdevumi – </w:t>
            </w:r>
            <w:r w:rsidR="00000000" w:rsidRPr="00000000" w:rsidDel="00000000">
              <w:rPr>
                <w:b w:val="1"/>
                <w:rtl w:val="0"/>
              </w:rPr>
              <w:t xml:space="preserve">ēkas, iekārtas</w:t>
            </w:r>
            <w:r w:rsidR="00000000" w:rsidRPr="00000000" w:rsidDel="00000000">
              <w:rPr>
                <w:rtl w:val="0"/>
              </w:rPr>
              <w:t xml:space="preserve">, intelektuālā īpašuma tiesības, datoru programmatūra (euro)". Lūgums precizēt.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8.7.1.2. kapitālizdevumi – ēkas, iekārtas, intelektuālā īpašuma tiesības, datoru programmatūra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8.12.1.2. P&amp;A tehniskais personāls, t.sk., P&amp;A atbalsta personāls;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normas vieglākai uztveramībai, aicinām IZM sakārtot MK noteikumu plānotā 8.12.1.2. apakšpunkta punktus loģiskā lejupejošā secībā, sākot ar jaunajiem zinātniekiem un beidzot ar cita līmeņa izglītību, kas zemāka par maģistra grāda, bakalaura grāda, pirmā vai otrā līmeņa augstāko vai profesionālo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8.12.1.2.1. jaunie zinātnieki;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8.12.1.2.2. doktora grāda ieguvēji;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8.12.1.2.3.doktoranti un doktora grāda pretendenti;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8.12.1.2.4.maģistra grāda, bakalaura grāda, pirmā vai otrā līmeņa augstākās vai profesionālās izglītības ieguvēji;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8.12.1.2.5.ar cita līmeņa izglītību, kas zemāka par 8.12.1.2.</w:t>
            </w:r>
            <w:r w:rsidR="00000000" w:rsidRPr="00000000" w:rsidDel="00000000">
              <w:rPr>
                <w:u w:val="single"/>
                <w:rtl w:val="0"/>
              </w:rPr>
              <w:t xml:space="preserve">4</w:t>
            </w:r>
            <w:r w:rsidR="00000000" w:rsidRPr="00000000" w:rsidDel="00000000">
              <w:rPr>
                <w:rtl w:val="0"/>
              </w:rPr>
              <w:t xml:space="preserve">. apakšpunktā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8.13.1.1. pētnieki (zinātnieki un citi profesionāļi);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normas vieglākai uztveramībai, aicinām IZM sakārtot MK noteikumu plānotā 8.13.1.1. apakšpunkta punktus loģiskā lejupejošā secībā, sākot ar jaunajiem zinātniekiem un beidzot ar cita līmeņa izglītību, kas zemāka par maģistra grāda, bakalaura grāda, pirmā vai otrā līmeņa augstāko vai profesionālo izglītību.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8.13.1.1.1.jaunie zinātnieki;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8.13.1.1.2.doktora grāda ieguvēji;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8.13.1.1.3.doktoranti un doktora grāda pretendenti;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8.13.1.1.4.maģistra grāda, bakalaura grāda, pirmā vai otrā līmeņa augstākās vai profesionālās izglītības ieguvēji;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8.13.1.1.5. ar cita līmeņa izglītību, kas zemāka par 8.13.1.1.4. apakšpunktā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ietvaros plānotais kopējais finansējums ir 56 760 000 </w:t>
            </w:r>
            <w:r w:rsidR="00000000" w:rsidRPr="00000000" w:rsidDel="00000000">
              <w:rPr>
                <w:i w:val="1"/>
                <w:rtl w:val="0"/>
              </w:rPr>
              <w:t xml:space="preserve">euro </w:t>
            </w:r>
            <w:r w:rsidR="00000000" w:rsidRPr="00000000" w:rsidDel="00000000">
              <w:rPr>
                <w:rtl w:val="0"/>
              </w:rPr>
              <w:t xml:space="preserve">(no tā elastības finansējums – 6 586 609 </w:t>
            </w:r>
            <w:r w:rsidR="00000000" w:rsidRPr="00000000" w:rsidDel="00000000">
              <w:rPr>
                <w:i w:val="1"/>
                <w:rtl w:val="0"/>
              </w:rPr>
              <w:t xml:space="preserve">euro</w:t>
            </w:r>
            <w:r w:rsidR="00000000" w:rsidRPr="00000000" w:rsidDel="00000000">
              <w:rPr>
                <w:rtl w:val="0"/>
              </w:rPr>
              <w:t xml:space="preserve">), tai skaitā Eiropas Reģionālās attīstības fonda finansējums – 48 246 000 </w:t>
            </w:r>
            <w:r w:rsidR="00000000" w:rsidRPr="00000000" w:rsidDel="00000000">
              <w:rPr>
                <w:i w:val="1"/>
                <w:rtl w:val="0"/>
              </w:rPr>
              <w:t xml:space="preserve">euro </w:t>
            </w:r>
            <w:r w:rsidR="00000000" w:rsidRPr="00000000" w:rsidDel="00000000">
              <w:rPr>
                <w:rtl w:val="0"/>
              </w:rPr>
              <w:t xml:space="preserve">(no tā elastības finansējums – 5 598 618 </w:t>
            </w:r>
            <w:r w:rsidR="00000000" w:rsidRPr="00000000" w:rsidDel="00000000">
              <w:rPr>
                <w:i w:val="1"/>
                <w:rtl w:val="0"/>
              </w:rPr>
              <w:t xml:space="preserve">euro</w:t>
            </w:r>
            <w:r w:rsidR="00000000" w:rsidRPr="00000000" w:rsidDel="00000000">
              <w:rPr>
                <w:rtl w:val="0"/>
              </w:rPr>
              <w:t xml:space="preserve">) un valsts budžeta līdzfinansējums – 8 514 000 </w:t>
            </w:r>
            <w:r w:rsidR="00000000" w:rsidRPr="00000000" w:rsidDel="00000000">
              <w:rPr>
                <w:i w:val="1"/>
                <w:rtl w:val="0"/>
              </w:rPr>
              <w:t xml:space="preserve">euro </w:t>
            </w:r>
            <w:r w:rsidR="00000000" w:rsidRPr="00000000" w:rsidDel="00000000">
              <w:rPr>
                <w:rtl w:val="0"/>
              </w:rPr>
              <w:t xml:space="preserve">(no tā elastības finansējums – 987 991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MK noteikumu 13.punkta teikuma </w:t>
            </w:r>
            <w:r w:rsidR="00000000" w:rsidRPr="00000000" w:rsidDel="00000000">
              <w:rPr>
                <w:i w:val="1"/>
                <w:rtl w:val="0"/>
              </w:rPr>
              <w:t xml:space="preserve">"Maksimālais attiecināmais Eiropas Reģionālās attīstības fonda finansējuma apmērs nepārsniedz 85 procentus no projektam plānotā kopējā attiecināmā finansējuma"</w:t>
            </w:r>
            <w:r w:rsidR="00000000" w:rsidRPr="00000000" w:rsidDel="00000000">
              <w:rPr>
                <w:rtl w:val="0"/>
              </w:rPr>
              <w:t xml:space="preserve"> svītrošanu. Vēršam uzmanību, ka MK noteikumos nepieciešams noteikt Eiropas Reģionālās attīstības fonda finansējuma procentuālo apmēru pasākuma līmenī, kas nav saistīts ar finansējuma intensitātēm finansējuma saņēmējiem. Līdz ar to aicinām minēto teikumu saglabāt un aizstāt tajā vārdu "projektam" ar vārdu "pasākumam".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 (Linda Liepa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ja tas ir ar saimniecisku darbību saistīts projekts, uz to neattiecas līdzekļu atgūšanas rīkojums, kas minēts Komisijas regulas Nr. 651/2014 1. panta 4. punkta "a"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2014. gada 17. jūnija Regulas (ES) Nr. 651/2014, ar ko noteiktas atbalsta kategorijas atzīst par saderīgām ar iekšējo tirgu, piemērojot Līguma 107. un 108. pantu (turpmāk – Komisijas regula Nr. 651/2014), 1. panta 4. punkta un 2. panta 18. punkta nosacījumi ir jāvērtē/jāpiemēro uzņēmuma grupas līmenī, jo Komisijas regulas Nr. 651/2014 angliskajā versijā nosacījumi, kas ir attiecināmi uz “undertaking”, ir jāpārbauda/jāpiemēro uzņēmuma grupas līmenī. Ņemot vērā iepriekš minēto, lūdzam atbilstoši precizēt MK noteikumu 31.1. un 31.5.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 projekta īstenošanas laikā nodrošina interešu konflikta neesību saskaņā ar Eiropas Parlamenta un Padomes 2018. gada 18. jūlija Regulas (ES, </w:t>
            </w:r>
            <w:r w:rsidR="00000000" w:rsidRPr="00000000" w:rsidDel="00000000">
              <w:rPr>
                <w:i w:val="1"/>
                <w:rtl w:val="0"/>
              </w:rPr>
              <w:t xml:space="preserve">Euratom</w:t>
            </w:r>
            <w:r w:rsidR="00000000" w:rsidRPr="00000000" w:rsidDel="00000000">
              <w:rPr>
                <w:rtl w:val="0"/>
              </w:rPr>
              <w:t xml:space="preserve">) Nr. 2018/1046 par finanšu noteikumiem, ko piemēro Savienības vispārējam budžetam, ar kuru groza Regulas (ES) Nr.  </w:t>
            </w:r>
            <w:r w:rsidR="00000000" w:rsidRPr="00000000" w:rsidDel="00000000">
              <w:rPr>
                <w:rtl w:val="0"/>
              </w:rPr>
              <w:t xml:space="preserve">1296/2013</w:t>
            </w:r>
            <w:r w:rsidR="00000000" w:rsidRPr="00000000" w:rsidDel="00000000">
              <w:rPr>
                <w:rtl w:val="0"/>
              </w:rPr>
              <w:t xml:space="preserve">, (ES) Nr.  </w:t>
            </w:r>
            <w:r w:rsidR="00000000" w:rsidRPr="00000000" w:rsidDel="00000000">
              <w:rPr>
                <w:rtl w:val="0"/>
              </w:rPr>
              <w:t xml:space="preserve">1301/2013</w:t>
            </w:r>
            <w:r w:rsidR="00000000" w:rsidRPr="00000000" w:rsidDel="00000000">
              <w:rPr>
                <w:rtl w:val="0"/>
              </w:rPr>
              <w:t xml:space="preserve">, (ES) Nr.  </w:t>
            </w:r>
            <w:r w:rsidR="00000000" w:rsidRPr="00000000" w:rsidDel="00000000">
              <w:rPr>
                <w:rtl w:val="0"/>
              </w:rPr>
              <w:t xml:space="preserve">1303/2013</w:t>
            </w:r>
            <w:r w:rsidR="00000000" w:rsidRPr="00000000" w:rsidDel="00000000">
              <w:rPr>
                <w:rtl w:val="0"/>
              </w:rPr>
              <w:t xml:space="preserve">, (ES) Nr.  </w:t>
            </w:r>
            <w:r w:rsidR="00000000" w:rsidRPr="00000000" w:rsidDel="00000000">
              <w:rPr>
                <w:rtl w:val="0"/>
              </w:rPr>
              <w:t xml:space="preserve">1304/2013</w:t>
            </w:r>
            <w:r w:rsidR="00000000" w:rsidRPr="00000000" w:rsidDel="00000000">
              <w:rPr>
                <w:rtl w:val="0"/>
              </w:rPr>
              <w:t xml:space="preserve">, (ES) Nr.  </w:t>
            </w:r>
            <w:r w:rsidR="00000000" w:rsidRPr="00000000" w:rsidDel="00000000">
              <w:rPr>
                <w:rtl w:val="0"/>
              </w:rPr>
              <w:t xml:space="preserve">1309/2013</w:t>
            </w:r>
            <w:r w:rsidR="00000000" w:rsidRPr="00000000" w:rsidDel="00000000">
              <w:rPr>
                <w:rtl w:val="0"/>
              </w:rPr>
              <w:t xml:space="preserve">, (ES) Nr.  </w:t>
            </w:r>
            <w:r w:rsidR="00000000" w:rsidRPr="00000000" w:rsidDel="00000000">
              <w:rPr>
                <w:rtl w:val="0"/>
              </w:rPr>
              <w:t xml:space="preserve">1316/2013</w:t>
            </w:r>
            <w:r w:rsidR="00000000" w:rsidRPr="00000000" w:rsidDel="00000000">
              <w:rPr>
                <w:rtl w:val="0"/>
              </w:rPr>
              <w:t xml:space="preserve">, (ES) Nr.  </w:t>
            </w:r>
            <w:r w:rsidR="00000000" w:rsidRPr="00000000" w:rsidDel="00000000">
              <w:rPr>
                <w:rtl w:val="0"/>
              </w:rPr>
              <w:t xml:space="preserve">223/2014</w:t>
            </w:r>
            <w:r w:rsidR="00000000" w:rsidRPr="00000000" w:rsidDel="00000000">
              <w:rPr>
                <w:rtl w:val="0"/>
              </w:rPr>
              <w:t xml:space="preserve">, (ES) Nr.  </w:t>
            </w:r>
            <w:r w:rsidR="00000000" w:rsidRPr="00000000" w:rsidDel="00000000">
              <w:rPr>
                <w:rtl w:val="0"/>
              </w:rPr>
              <w:t xml:space="preserve">283/2014</w:t>
            </w:r>
            <w:r w:rsidR="00000000" w:rsidRPr="00000000" w:rsidDel="00000000">
              <w:rPr>
                <w:rtl w:val="0"/>
              </w:rPr>
              <w:t xml:space="preserve"> un Lēmumu Nr. 541/2014/ES un atceļ Regulu (ES, </w:t>
            </w:r>
            <w:r w:rsidR="00000000" w:rsidRPr="00000000" w:rsidDel="00000000">
              <w:rPr>
                <w:i w:val="1"/>
                <w:rtl w:val="0"/>
              </w:rPr>
              <w:t xml:space="preserve">Euratom</w:t>
            </w:r>
            <w:r w:rsidR="00000000" w:rsidRPr="00000000" w:rsidDel="00000000">
              <w:rPr>
                <w:rtl w:val="0"/>
              </w:rPr>
              <w:t xml:space="preserve">) Nr. 966/2012, 61. panta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jaunā “Finanšu regula” – Eiropas Parlamenta un Padomes 2024. gada 23. septembra Regula (ES, Euratom) 2024/2509 par finanšu noteikumiem, ko piemēro Savienības vispārējam budžetam (pārstrādāta redakcija) (turpmāk - Regula 2024/2509), un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MK noteikumu 31.8. apakšpunktā un 56. un 59. punktā precizēt regulas atsauces, norādot atsauces uz Regulu 2024/2509. </w:t>
            </w:r>
            <w:r w:rsidR="00000000" w:rsidRPr="00000000" w:rsidDel="00000000">
              <w:rPr>
                <w:rtl w:val="0"/>
              </w:rPr>
              <w:t xml:space="preserve">Saskaņā ar Regulas 2024/2509 279. pantu atsauces uz atcelto Regulu 2018/1046 uzskata par atsaucēm uz Regulu 2024/2509, un tās lasa saskaņā ar atbilstības tabulu Regulas 2024/2509 II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Projektā ir attiecināmas izmaksas horizontālā principa "Vienlīdzība, iekļaušana, nediskriminācija un pamattiesību ievērošana" darbību īstenošanai, tai skaitā zīmju valodas tulku, vieglās valodas tulkošanas, reāllaika transkripcijas, subtitru nodrošināšanas pakalpojumu, pacēlāju, pandusu un indukcijas cilpu nomas izmaksas, ja tās ir nepieciešamas vides un informācijas piekļūstamības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iekļaut MK noteikumu plānotajā 37.</w:t>
            </w:r>
            <w:r w:rsidR="00000000" w:rsidRPr="00000000" w:rsidDel="00000000">
              <w:rPr>
                <w:vertAlign w:val="superscript"/>
                <w:rtl w:val="0"/>
              </w:rPr>
              <w:t xml:space="preserve">1 </w:t>
            </w:r>
            <w:r w:rsidR="00000000" w:rsidRPr="00000000" w:rsidDel="00000000">
              <w:rPr>
                <w:rtl w:val="0"/>
              </w:rPr>
              <w:t xml:space="preserve">punktā minētās izmaksas tiešajās vai netiešajās attiecināmajās izmaksās, sasaistot tās ar atbalstāmajām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 (Linda Liepa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Projektā ir attiecināmas izmaksas horizontālā principa "Vienlīdzība, iekļaušana, nediskriminācija un pamattiesību ievērošana" darbību īstenošanai, tai skaitā zīmju valodas tulku, vieglās valodas tulkošanas, reāllaika transkripcijas, subtitru nodrošināšanas pakalpojumu, pacēlāju, pandusu un indukcijas cilpu nomas izmaksas, ja tās ir nepieciešamas vides un informācijas piekļūstamības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horizontālā principa "Vienlīdzība, iekļaušana, nediskriminācija un pamattiesību ievērošana" darbības īstenojamas projekta atbalstāmo darbību ietvaros, aicinām  precizēt 37</w:t>
            </w:r>
            <w:r w:rsidR="00000000" w:rsidRPr="00000000" w:rsidDel="00000000">
              <w:rPr>
                <w:vertAlign w:val="superscript"/>
                <w:rtl w:val="0"/>
              </w:rPr>
              <w:t xml:space="preserve">1</w:t>
            </w:r>
            <w:r w:rsidR="00000000" w:rsidRPr="00000000" w:rsidDel="00000000">
              <w:rPr>
                <w:rtl w:val="0"/>
              </w:rPr>
              <w:t xml:space="preserve">.  punktu,  vārdu "Projektā" aizstājot ar  vārdiem "Projekta atbalstāmo darbību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noteikt vai šādas izmaksas ir attiecināmas ar saimniecisku darbību nesaistītam projektam, ar saimniecisku darbību saistītam projektam, vai abu projektu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aicinām izvērtēt vai nav precizējams MK noteikumu 35.punkts, nosakot vai no 37</w:t>
            </w:r>
            <w:r w:rsidR="00000000" w:rsidRPr="00000000" w:rsidDel="00000000">
              <w:rPr>
                <w:vertAlign w:val="superscript"/>
                <w:rtl w:val="0"/>
              </w:rPr>
              <w:t xml:space="preserve">1</w:t>
            </w:r>
            <w:r w:rsidR="00000000" w:rsidRPr="00000000" w:rsidDel="00000000">
              <w:rPr>
                <w:rtl w:val="0"/>
              </w:rPr>
              <w:t xml:space="preserve">.  punktā minētajām ir aprēķināmas netiešās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Centrālajai  finanšu un līgumu aģentūrai pēc noteikumu grozījumu apstiprināšanas ir tiesības lemt par projektu iesniegumu iesniegšanas termiņa pagarināšanu, jo jāveic izmaiņas projekta budžeta veidlapā.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atbalstāmo darbību ietvaros ir attiecināmas izmaksas horizontālā principa "Vienlīdzība, iekļaušana, nediskriminācija un pamattiesību ievērošana" darbību īstenošanai, tai skaitā zīmju valodas tulku, vieglās valodas tulkošanas, reāllaika transkripcijas, subtitru nodrošināšanas pakalpojumu, pacēlāju, pandusu un indukcijas cilpu nomas izmaksas, ja tās ir nepieciešamas vides un informācijas piekļūstamības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Lūcija Ciekure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Projektā ir attiecināmas izmaksas horizontālā principa "Vienlīdzība, iekļaušana, nediskriminācija un pamattiesību ievērošana" darbību īstenošanai, tai skaitā zīmju valodas tulku, vieglās valodas tulkošanas, reāllaika transkripcijas, subtitru nodrošināšanas pakalpojumu, pacēlāju, pandusu un indukcijas cilpu nomas izmaksas, ja tās ir nepieciešamas vides un informācijas piekļūstamības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uz ko (uz kurām personu grupām, kādos gadījumos) attieksies plānotās horizontālā principa "Vienlīdzība, iekļaušana, nediskriminācija un pamattiesību ievērošana" darbības, kas nepieciešamas vides un informācijas piekļūstamības nodrošināšanai, un kuru izmaksas projektā plānots attiecināt.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Ja ar saimniecisku darbību nesaistīta projekta īstenošanas rezultātā tiek gūti ieņēmumi no projekta ietvaros iegūto zinātības un tehnoloģiju pārneses un projekts atbilst Eiropas Parlamenta un Padomes 2013. gada 17. decembra Regulas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61. panta 7. punkta "b" apakšpunkta un 65. panta 8. punkta nosacījumiem, labuma guvējs veic projekta izmaksu ieguvumu vai izmaksu efektivitātes analīzi atbilstoši kārtībai,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MK noteikumu grozījumu projektu, svītrojot MK noteikumu 60.punktu, jo tajā ir atsauce uz 2014.-2020.gada plānošanas perioda </w:t>
            </w:r>
            <w:r w:rsidR="00000000" w:rsidRPr="00000000" w:rsidDel="00000000">
              <w:rPr>
                <w:i w:val="1"/>
                <w:rtl w:val="0"/>
              </w:rPr>
              <w:t xml:space="preserve">Eiropas Parlamenta un Padomes 2013. gada 17. decembra Regulas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r w:rsidR="00000000" w:rsidRPr="00000000" w:rsidDel="00000000">
              <w:rPr>
                <w:rtl w:val="0"/>
              </w:rPr>
              <w:t xml:space="preserve"> 61. un 65. pantu, kas nav saistoši 2021. - 2027.gada plānošanas perioda projektiem, vai precizēt atsauci uz atbilstošu dokumentu, t.sk., anotācijā skaidri norādot, kāds būtu izmaksu un ieguvumu analīzes mērķis (vai jāsamazina atbalsta likme, vai jāpierāda lietderīgums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 (Linda Liepa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24-TA-2372</w:t>
    </w:r>
    <w:r>
      <w:br/>
    </w:r>
    <w:r w:rsidR="00000000" w:rsidRPr="00000000" w:rsidDel="00000000">
      <w:rPr>
        <w:rtl w:val="0"/>
      </w:rPr>
      <w:t xml:space="preserve">Izdrukāts 05.11.2024. 14.04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24-TA-2372</w:t>
    </w:r>
    <w:r>
      <w:br/>
    </w:r>
    <w:r w:rsidR="00000000" w:rsidRPr="00000000" w:rsidDel="00000000">
      <w:rPr>
        <w:rtl w:val="0"/>
      </w:rPr>
      <w:t xml:space="preserve">Izdrukāts 05.11.2024. 14.04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Atzinumi_24-TA-2372.docx</dc:title>
</cp:coreProperties>
</file>

<file path=docProps/custom.xml><?xml version="1.0" encoding="utf-8"?>
<Properties xmlns="http://schemas.openxmlformats.org/officeDocument/2006/custom-properties" xmlns:vt="http://schemas.openxmlformats.org/officeDocument/2006/docPropsVTypes"/>
</file>