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intervencē "Pārtikas kvalitātes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"b" vai "c" apakšpunktā, tas nodrošina šo nozaru darbību vai izmaksu nodalīšanu no tām darbībām, kurām piešķirts </w:t>
            </w:r>
            <w:r w:rsidR="00000000" w:rsidRPr="00000000" w:rsidDel="00000000">
              <w:rPr>
                <w:i w:val="1"/>
                <w:rtl w:val="0"/>
              </w:rPr>
              <w:t xml:space="preserve">de minimis</w:t>
            </w:r>
            <w:r w:rsidR="00000000" w:rsidRPr="00000000" w:rsidDel="00000000">
              <w:rPr>
                <w:rtl w:val="0"/>
              </w:rPr>
              <w:t xml:space="preserve"> atbalsts saskaņā ar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25.10.2023. ir stājusies spēkā Komisijas Regula (ES) 2023/2391 (2023. gada 4. oktobris)</w:t>
            </w:r>
            <w:r w:rsidR="00000000" w:rsidRPr="00000000" w:rsidDel="00000000">
              <w:rPr>
                <w:i w:val="1"/>
                <w:rtl w:val="0"/>
              </w:rPr>
              <w:t xml:space="preserve">,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r w:rsidR="00000000" w:rsidRPr="00000000" w:rsidDel="00000000">
              <w:rPr>
                <w:rtl w:val="0"/>
              </w:rPr>
              <w:t xml:space="preserve"> (turpmāk – Komisijas Regula 2023/2391). Atkārtoti skaidrojam, ka ar Komisijas Regulu 2023/2391 tiek precizēts Komisijas Regulas (ES) Nr. 1407/2013 (2013. gada 18. decembris) </w:t>
            </w:r>
            <w:r w:rsidR="00000000" w:rsidRPr="00000000" w:rsidDel="00000000">
              <w:rPr>
                <w:i w:val="1"/>
                <w:rtl w:val="0"/>
              </w:rPr>
              <w:t xml:space="preserve">par Līguma par Eiropas Savienības darbību 107. un 108. panta piemērošanu de minimis atbalstam </w:t>
            </w:r>
            <w:r w:rsidR="00000000" w:rsidRPr="00000000" w:rsidDel="00000000">
              <w:rPr>
                <w:rtl w:val="0"/>
              </w:rPr>
              <w:t xml:space="preserve">(turpmāk – Komisijas regula Nr.1407/2013) 1.panta 1.punkta apakšpunktā norādīto izslēdzamo nozaru saraksts, sadalot zvejas un akvakultūras uzņēmumus, atbilstoši precizējot “a” apakšpunkta redakciju un pievienojot  jaunu “aa”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gadījumā, ja atbalsta saņēmējs (uzņēmums) darbojas arī zvejas un akvakultūras produktu apstrādes un tirdzniecības nozarē ("aa" apakšpunkts), izslēdzamās nozares darbības un izmaksas būtu nodalītas un negūtu labumu, no atbalsta, kas piešķirts saskaņā ar Komisijas regulu Nr.1407/2013, lūdzam precizēt noteikumu projekta 17.3. apakšpunktu, pievienojot izslēdzamo nozaru uzskaitei arī “aa”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izziņas 5.punktā sniegtajam skaidrojumam papildināt arī anotācijas 3.sadaļas 6.punktu, norādot, ka veicot finansējuma sadali finansējums tika samazināts Eiropas Lauksaimniecības fonda lauku attīstībai pasākumam LA9 “Ražotāju grupu un organizāciju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17.11.2023.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17.11.2023.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Atzinumi_23-TA-1480.docx</dc:title>
</cp:coreProperties>
</file>

<file path=docProps/custom.xml><?xml version="1.0" encoding="utf-8"?>
<Properties xmlns="http://schemas.openxmlformats.org/officeDocument/2006/custom-properties" xmlns:vt="http://schemas.openxmlformats.org/officeDocument/2006/docPropsVTypes"/>
</file>