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nodokļa maksātājs realizē vai savas saimnieciskās darbības nodrošināšanai izmanto no citām valstīm ievestus vienreiz lietojamus plastmasu saturošus izstrādājumus vai plastmasu saturošus zvejas rīkus un nepiemēro tiem ražotāja paplašinātās atbildības sistēmu saskaņā ar Plastmasu saturošu izstrādājumu patēriņa samazināšanas likuma 10. panta prasībām, tas aprēķina un maksā nodokli par Latvijas Republikā realizētiem vai savas saimnieciskās darbības nodrošināšanai izmantotiem vienreiz lietojamiem plastmasu saturošiem izstrādājumiem (mitrajām salvetēm, baloniem, tabakas izstrādājumu filtriem un filtriem, kas paredzēti lietošanai kopā ar tabakas izstrādājumiem) un plastmasu saturošu zvejas rīku plastmasas daļām. Nodokli aprēķina par katru izstrādājuma un katru zvejas rīka plastmasas daļu svara vienību. Nodokļa maksātājs nodrošina šo izstrādājumu un zvejas rīku uzskaiti, lai pamatotu nodokļa aprēķinu."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ir izskatījusi likumprojektu Grozījumi Dabas resursu nodokļa likumā un atbalsta tā turpmāku virzību, vienlaikus izsakot iebildumu pret likumprojektu, jo tajā nav skaidri un konkrēti izslēgti zvejnieki kā dabas resursu nodokļa maksātāji. Saskaņā ar </w:t>
            </w:r>
            <w:r w:rsidR="00000000" w:rsidRPr="00000000" w:rsidDel="00000000">
              <w:rPr>
                <w:i w:val="1"/>
                <w:rtl w:val="0"/>
              </w:rPr>
              <w:t xml:space="preserve">Eiropas Parlamenta un Padomes Direktīvas (ES) 2019/904 par konkrētu plastmasas izstrādājumu ietekmes uz vidi samazināšanu </w:t>
            </w:r>
            <w:r w:rsidR="00000000" w:rsidRPr="00000000" w:rsidDel="00000000">
              <w:rPr>
                <w:rtl w:val="0"/>
              </w:rPr>
              <w:t xml:space="preserve">ievaddaļas 25. punktu zvejnieki un amatnieki, kas izgatavo plastmasu saturošus zvejas rīkus, nebūtu jāuzskata par ražotājiem, un viņi nebūtu jānosaka par atbildīgiem par to pienākumu izpildi, kas izriet no ražotāja paplašinātas atbildības. Līdz ar to Zemkopības ministrija nevar atbalstīt piedāvāto panta redakciju. Vienlaikus norādām, ka zvejnieku organizācijas jau ir vērsušās ar šo prasību Klimata un enerģētikas ministrijā, tomēr zvejnieku prasības nav ņemtas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Jansone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26.06.2025. 11.11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26.06.2025. 11.11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