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6.1.1.8. pasākuma „Pašvaldību un reģionu speciālistu prasmju paaugstināšana klimatneitrālas ekonomikas un sociālekonomisko seku saistībā ar klimata pārmaiņām mazināšanas jautājumos”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Kurzemes plānošanas reģions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īstenošanas vieta ir Kurzemes, Latgales, Vidzemes un Zemgales statistiskais reģions saskaņā ar 2022. gada 25. novembrī spēkā esošo Statistiski teritoriālo vienību nomenklatūras 3. līmeņa (NUTS 3. līmenis) klasifikāciju.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Noteikumu projekta 5.punktā minētā atsauce par projekta īstenošanas vietu neietver Tukuma novadu Kurzemes plānošanas reģionā, kas ir noteikts MK noteikumos Nr. 418 (Rīgā 2021. gada 22. jūnijā (prot. Nr. 49 45. §)) “Noteikumi par plānošanas reģionu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līdzvērtīgu projektu ieviešanu arī Tukuma novadam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Noteikumu projekta 5.punktā minētā atsauce par projekta īstenošanas vietu neietver Tukuma novadu Kurzemes plānošanas reģionā, kas ir noteikts MK noteikumos Nr. 418 (Rīgā 2021. gada 22. jūnijā (prot. Nr. 49 45. §)) “Noteikumi par plānošanas reģionu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līdzvērtīgu projektu ieviešanu arī Tukuma novadam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Inguna Tomsone (KPR)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Noteikumu projekta 5.punktā minētā atsauce par projekta īstenošanas vietu neietver Tukuma novadu Kurzemes plānošanas reģionā, kas ir noteikts MK noteikumos Nr. 418 (Rīgā 2021. gada 22. jūnijā (prot. Nr. 49 45. §)) “Noteikumi par plānošanas reģionu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līdzvērtīgu projektu ieviešanu arī Tukuma novadam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Noteikumu projekta 5.punktā minētā atsauce par projekta īstenošanas vietu neietver Tukuma novadu Kurzemes plānošanas reģionā, kas ir noteikts MK noteikumos Nr. 418 (Rīgā 2021. gada 22. jūnijā (prot. Nr. 49 45. §)) “Noteikumi par plānošanas reģionu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līdzvērtīgu projektu ieviešanu arī Tukuma novadam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Inguna Tomsone (KPR)</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28.06.2023. 10.18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28.06.2023. 10.18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Atzinumi_23-TA-954.docx</dc:title>
</cp:coreProperties>
</file>

<file path=docProps/custom.xml><?xml version="1.0" encoding="utf-8"?>
<Properties xmlns="http://schemas.openxmlformats.org/officeDocument/2006/custom-properties" xmlns:vt="http://schemas.openxmlformats.org/officeDocument/2006/docPropsVTypes"/>
</file>