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5.6.1. SAM projekta “Starpdisciplinārā izglītības, kultūras un radošo industriju atbalsta centra “TabFab” izveide nekustamajā īpašumā Miera ielā 58a, Rīgā” posmošanu uz 4.2.1.8. pasākumu “Augstskolu studiju vides modernizācija”.  Skaidrojam, ka 4.2.1.8. pasākums ir plānots kā atklāta projektu iesniegumu atlase, līdz ar to augstskolas uz finansējumu pretendēs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un MK noteikumu protokollēmumā svītrot atsauci uz SAM 4.2.1.8. pasākumu “Augstskolu studiju vides modernizācija”. Aicinām KM meklēt finansējumu KM pārziņā esošajos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Valtere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5.6.1. SAM projekta “Starpdisciplinārā izglītības, kultūras un radošo industriju atbalsta centra “TabFab” izveide nekustamajā īpašumā Miera ielā 58a, Rīgā” posmošanu uz 4.2.1.8. pasākumu “Augstskolu studiju vides modernizācija”.  Skaidrojam, ka 4.2.1.8. pasākums ir plānots kā atklāta projektu iesniegumu atlase, līdz ar to augstskolas uz finansējumu pretendēs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un MK noteikumu protokollēmumā svītrot atsauci uz SAM 4.2.1.8. pasākumu “Augstskolu studiju vides modernizācija”. Aicinām KM meklēt finansējumu KM pārziņā esošajos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Valtere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21.11.2023.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21.11.2023.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