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Izmantojot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7.punktu atbilstoši Attīstības finanšu institūcijas likuma 12.panta ceturtajā daļā noteiktajam,</w:t>
            </w:r>
            <w:r w:rsidR="00000000" w:rsidRPr="00000000" w:rsidDel="00000000">
              <w:rPr>
                <w:u w:val="single"/>
                <w:rtl w:val="0"/>
              </w:rPr>
              <w:t xml:space="preserve"> paredzot atmaksātā publiskā finansējuma apmēru</w:t>
            </w:r>
            <w:r w:rsidR="00000000" w:rsidRPr="00000000" w:rsidDel="00000000">
              <w:rPr>
                <w:rtl w:val="0"/>
              </w:rPr>
              <w:t xml:space="preserve">. Gadījumā, ja nav iespējams noteikt konkrētu atmaksu summu,</w:t>
            </w:r>
            <w:r w:rsidR="00000000" w:rsidRPr="00000000" w:rsidDel="00000000">
              <w:rPr>
                <w:u w:val="single"/>
                <w:rtl w:val="0"/>
              </w:rPr>
              <w:t xml:space="preserve"> lūdzam noteikt 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šo noteikumu</w:t>
            </w:r>
            <w:r w:rsidR="00000000" w:rsidRPr="00000000" w:rsidDel="00000000">
              <w:rPr>
                <w:rtl w:val="0"/>
              </w:rPr>
              <w:t xml:space="preserve">54.</w:t>
            </w:r>
            <w:r w:rsidR="00000000" w:rsidRPr="00000000" w:rsidDel="00000000">
              <w:rPr>
                <w:rtl w:val="0"/>
              </w:rPr>
              <w:t xml:space="preserve"> punktā sniegto gala saņēmēju informāciju iesniegt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iesniegšanas veidu, jo noteikumu projekta 54.punktā minēto informāciju pēc noslēguma maksājuma pieprasījuma apstiprināšanas nebūs iespējams iesniegt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būtības izskatīt sabiedrības Altum sniegtos komentārus un ieteikumus par programmas īstenošanas ietvaru, kuri cita starpā nosūtīti arī š.g. 27. septembrī Ekonomikas ministrijas atbildīgajiem darbiniekiem. Komentāros vēršam uzmanību, ka nepieciešama skaidrība, pirmkārt, par programmas finanšu nosacījumiem un potenciālo sadalījumu starp atbalsta virzieniem un prioritārajām mērķa grupām; otrkārt, par sabiedrības Altum sadarbību ar Latvijas Zinātnes Padomi un Aizsardzības ministriju par projektu vērtēšanu un atzinumu sniegšanu; treškārt, inovāciju un duālo projektu vērtēšanas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kapitāla atlaides piemērošanas metodikai ir jābūt pievienotai MK Noteikumu pielikumā, lai visām iesaistītajām pusēm, it īpaši klientiem, ir skaidri nosacījumi, t.sk. par to, kuri dati tiktu/ netiktu ņemti vērā rādītāju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Kapusta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tas nav uzskatāms par grūtībās nonākušu komersantu saskaņā ar Komisijas regulas Nr. 651/2014 2. panta 18. punktu un ir iesniedzis apliecinājumu, ka tam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 panta 18. punkta nosacījumi ir jāvērtē/jāpiemēro uzņēmuma grupas līmenī (Komisijas Regulas Nr. 651/2014 angliskajā versijā nosacījumi, kas ir attiecināmi uz ‘undertaking’, ir jāpārbauda/jāpiemēro uzņēmuma grupas līmenī), lūdzam papildināt noteikumu projekta 2.11.3.apakšpunktu aiz vārdiem "saskaņā ar Komisijas regulas Nr. 651/2014 2. panta 18. punktu" iekļaujot iekavas "(vērtējot saistītas grupas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14. - 16.punkta nosacījumiem vēršam uzmanību, ka primārais pasākuma un projektu mērķis atbilstoši ES kohēzijas politikas atbalsta nosacījumiem ir jābūt inovatīvu produktu izstrāde, kura ietvaros var sniegt atbalstu arī duāla pielietojuma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izstrādei drošības un aizsardzības jomā, gala saņēmējam ir jāsaņem sākotnējais Aizsardzības ministrijas atzinums vai sabiedrība "Altum" var vērsties Aizsardzības ministrijā atzinuma saņemšanai par gala saņēmēja pieteikuma projektā pieteiktā produkta atbilstību duāla pielietojuma inovatīvam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to, kādi ir finansējuma saņēmēja un kādi ir gala saņēmējam pienākumi, rosinām precizēt, skaidri nosakot, kas nodrošina Aizsardzības ministrijas atzinuma saņemšanu, t.i., gala saņēmējs, piesakoties atbalstam, vai "Altum", kas vēršas Aizsardzības ministrijā, izvērtējot saņemto pieteikumu, ņemot vērā, ka noteikumu projekta 36.punktā uzskaitīti dokumenti un informācija, kas gala saņēmējam jāiesniedz, piesakoties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Sabiedrībai “Altum” var lūgt Latvijas Zinātnes padomes atzinumu, ja rodas šaubas, ka biznesa projekta rezultātā tiks radīts inovatīvs produkts. Lai nodrošinātu atzinuma sniegšanu, sabiedrība “Altum”, Latvijas Zinātnes padome un Ekonomikas ministrija slēdz trīspusēju vienošanos, iepriekš to saskaņojot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izziņā ietvertajai informācijai MK noteikumu projekts TAP netiek skaņots ar LZP. Lūdzam šo noteikumu projektu saskaņot TAP arī ar LZP vai sniegt informāciju, kādā veidā LZP ir iepazīstināta 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gala saņēmēja preču vai pakalpojumu eksporta apjoms gadā ir vismaz 20% no investīciju projekta apmēra salīdzinot ar gala saņēmēja eksporta apjomu gadā, kad tika pabeigts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MK noteikumu projekta 28.3.apakšpunkta nosacījums. Aicinām izvērtēt redakciju un precizēt, piemēram, vai šajā gadījumā domāts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eksperta atzinumu, ja biznesa projekts paredz duāla pielietojuma inovatīva produkta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saņēmējam mazinātu administratīvo slogu pieteikuma sagatavošanā, lūdzam izvērtēt nepieciešamību gala saņēmējam, piesakoties atbalstam, iesniegt minēto eksperta atzinumu, kā arī precizēt, kāda eksperta atzinums ir nepieciešams, ņemot vērā noteikumu projekta 15.punkts jau paredz, ka nepieciešams Aizsardzības ministrijas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Latvijas Zinātnes padomes atzinumu, ka biznesa projekta rezultātā tiks radīts inovatīvs produkts vai ka biznesa projekta ietvaros ir iekļautas ar biznesa projekta mērķi saistītas pētniecības un attīstības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finansējuma saņēmējam, gan gala saņēmējiem, lūdzam izvērtēt šāda punkta/iesniedzamā dokumenta nepieciešamību vai noteikumu projektā salāgot informāciju par to, kurš Latvijas Zinātnes padomei lūdz sagatavot minēto atzinumu, ņemot vērā, ka noteikumu projekta 16. un 34. punkts paredz, ka sabiedrība “Altum” var lūgt Latvijas Zinātnes padomes atzinumu, ja rodas šaubas, ka biznesa projekta rezultātā tiks radīts inovatīvs produkts, vai ja rodas šaubas, ka biznesa projekta ietvaros ir iekļautas ar biznesa projekta mērķi saistītas pētniecības un attīstības darbības/aktivitātes, kas paredz nodrošināt prototipa vai inovatīva produkta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ietvaros piešķirto atbalstu nedrīkst apvienot ar citas valsts atbalsta programmas ietvaros saņemto atbalstu par vienām un tām pašām izmaksām, ja citas valsts atbalsta programmas sniegtais atbalsts tiek finansēts no Eiropas Savienības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45. punktā vārdus "ja citas valsts atbalsta programmas sniegtais atbalsts tiek finansēts no Eiropas Savienības fondu līdzekļiem". Vēršam uzmanību, ka nepārklāšanās princips un dubultā finansējuma neiestāšanās nodrošināma gan saistībā ar jebkuriem citiem valsts un ārvalstu finanšu atbalsta instrumentiem, gan arī konkrētā projekta īstenošanai piešķirtā finansējuma ietvaros vienas un tās pašas darbības nevar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aicinām izvērtēt un skaidrot noteikumu projekta 45. punkta nepieciešamību, ņemot vērā, ka saskaņā ar Ministru kabineta 2023. gada 5. septembra noteikumu Nr. 510 "Eiropas Savienības kohēzijas politikas programmas 2021.–2027. gadam finanšu instrumentu kopīgie īstenošanas noteikumi" 26.6. apakšpunktu, ieviešot līdzdalības fondus, akciju sabiedrībai "Attīstības finanšu institūcija Altum" ir pienākums nodrošināt iekšējās kontroles sistēmu, kas paredz interešu konflikta novēršanu (tai skaitā ietverot attiecīgus apliecinājumus), un krāpšanas, korupcijas risku </w:t>
            </w:r>
            <w:r w:rsidR="00000000" w:rsidRPr="00000000" w:rsidDel="00000000">
              <w:rPr>
                <w:u w:val="single"/>
                <w:rtl w:val="0"/>
              </w:rPr>
              <w:t xml:space="preserve">un dubultā finansējuma novēršanas</w:t>
            </w:r>
            <w:r w:rsidR="00000000" w:rsidRPr="00000000" w:rsidDel="00000000">
              <w:rPr>
                <w:rtl w:val="0"/>
              </w:rPr>
              <w:t xml:space="preserve"> mehānismu.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54.13. neto apgrozījums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RIS3 radītāju izvēlnē, kas š.g. jūlijā saskaņota starp EM, IZM, CFLA un VI un integrēti KPVIS ir iekļauti šādi RIS3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apgrozījums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komersanta eksports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precizēt RIS3 rādītāju redakcijas. Pretējā gadījumā atšķirīgi rādītāji nebūs atrodami KPVIS un komersants nevares nodrošināt to noziņošanu.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pievienot informāciju par demarkācijas un dubultfinansējuma riska novēršanas nodrošināšanu ar citiem ES fondu pasākumiem vai Atveseļošanas fonda investīcijām, t.sk., ar 1.2.3.1. pasākuma "Atbalsts MVU inovatīvas uzņēmējdarbības attīstībai" ietvaros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6.punkta otrajā rindkopā ir sniegta informācija par kopējā finansējuma izlietojumu pa gadiem, lūdzam attiecīgi svītrot tekstu “ES fondu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11.10.2024.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11.10.2024.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Atzinumi_23-TA-2315.docx</dc:title>
</cp:coreProperties>
</file>

<file path=docProps/custom.xml><?xml version="1.0" encoding="utf-8"?>
<Properties xmlns="http://schemas.openxmlformats.org/officeDocument/2006/custom-properties" xmlns:vt="http://schemas.openxmlformats.org/officeDocument/2006/docPropsVTypes"/>
</file>