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 pārbaudīt un novērst interešu konflikta, korupcijas un krāpšanas risku pirms darba devēja pieteikuma izskatīšanas, kā arī visā darba devēja aktivitāšu īstenošanas laikā nodrošināt pārbaužu dokumentēšanu un apliecinājuma parakstīšanu par interešu konflikta neesību, ja nepieciešams, novēršot identificētos riskus vai konstatēto interešu konfliktu. Apliecinājumu finansējuma saņēmējs glabā atbilstoši Eiropas Parlamenta un Padomes Regula (ES, Euratom) 2024/2509 (2024. gada 23. septembris) par finanšu noteikumiem, ko piemēro Savienības vispārējam budžetam (pārstrādāta redakcija)  (turpmāk – Komisijas regula </w:t>
            </w:r>
            <w:r w:rsidR="00000000" w:rsidRPr="00000000" w:rsidDel="00000000">
              <w:rPr>
                <w:rtl w:val="0"/>
              </w:rPr>
              <w:t xml:space="preserve">2024/</w:t>
            </w:r>
            <w:r w:rsidR="00000000" w:rsidRPr="00000000" w:rsidDel="00000000">
              <w:rPr>
                <w:rtl w:val="0"/>
              </w:rPr>
              <w:t xml:space="preserve">2509), 132.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33.12. apakšpunktā atsauce uz Eiropas Parlamenta un Padomes 2024. gada 23. septembra Regulas (ES, Euratom) 2024/2509 par finanšu noteikumiem, ko piemēro Savienības vispārējam budžetam, (pārstrādātā redakcija) 132. pantu nav noformēta atbilstoši Ministru kabineta 2009. gada 3. februāra noteikumu Nr. 108 "Normatīvo aktu projektu sagatavošanas noteikumi" 170. un 171. punktu prasībām. Ņemot vērā minēto, lūdzam precizēt atsauci atbilstoši šīm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25.02.2025.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25.02.2025.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Atzinumi_25-TA-15.docx</dc:title>
</cp:coreProperties>
</file>

<file path=docProps/custom.xml><?xml version="1.0" encoding="utf-8"?>
<Properties xmlns="http://schemas.openxmlformats.org/officeDocument/2006/custom-properties" xmlns:vt="http://schemas.openxmlformats.org/officeDocument/2006/docPropsVTypes"/>
</file>