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stacionāro tehnoloģisko iekārtu dalību Eiropas Savienības emisijas kvotu tirdzniecības sistēmā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kārtību, kādā tiek novērtēta potenciālo operatoru atbilstība atļaujas saņemšanai saskaņā ar likuma "Par piesārņojumu" 32.</w:t>
            </w:r>
            <w:r w:rsidR="00000000" w:rsidRPr="00000000" w:rsidDel="00000000">
              <w:rPr>
                <w:vertAlign w:val="superscript"/>
                <w:rtl w:val="0"/>
              </w:rPr>
              <w:t xml:space="preserve">16</w:t>
            </w:r>
            <w:r w:rsidR="00000000" w:rsidRPr="00000000" w:rsidDel="00000000">
              <w:rPr>
                <w:rtl w:val="0"/>
              </w:rPr>
              <w:t xml:space="preserve"> panta pirmo daļu un 32.</w:t>
            </w:r>
            <w:r w:rsidR="00000000" w:rsidRPr="00000000" w:rsidDel="00000000">
              <w:rPr>
                <w:vertAlign w:val="superscript"/>
                <w:rtl w:val="0"/>
              </w:rPr>
              <w:t xml:space="preserve">18</w:t>
            </w:r>
            <w:r w:rsidR="00000000" w:rsidRPr="00000000" w:rsidDel="00000000">
              <w:rPr>
                <w:rtl w:val="0"/>
              </w:rPr>
              <w:t xml:space="preserve">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1.7. apakšpunktu, nedublējot noteikumu projekta 1.3.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informāciju par izmantoto biomasas frakcijas noteikšanas metodi un aprēķiniem, tai skaitā par paraugu ņemšanas un analīžu metodēm vai izmantotajām aplēses metodēm, kas atbilst regulas Nr. 2018/2066 39. pantā noteiktajam un II pielikuma 2.4. sadaļā definētajām prasībām par biomasas frakcijas pakāpēm;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attiecīgās regulas II pielikuma 2.4. sadaļā tostarp norādīts uz </w:t>
            </w:r>
            <w:r w:rsidR="00000000" w:rsidRPr="00000000" w:rsidDel="00000000">
              <w:rPr>
                <w:u w:val="single"/>
                <w:rtl w:val="0"/>
              </w:rPr>
              <w:t xml:space="preserve">kompetentās iestādes</w:t>
            </w:r>
            <w:r w:rsidR="00000000" w:rsidRPr="00000000" w:rsidDel="00000000">
              <w:rPr>
                <w:rtl w:val="0"/>
              </w:rPr>
              <w:t xml:space="preserve"> vai Komisijas publicētajām vērtībām, tādēļ lūdzam izvērtēt un skaidrot minēto vērtību pieejamību nacionālajā ārējā normatīvajā aktā, nepieciešamības gadījumā precizējot šo noteikumu 7.1.1. apakšpunktu. Vienlaikus vēršam uzmanību, ka atbilstoši šīs regulas 39. panta 1. punktā minētajam biomasas frakcijas noteikšana ir kā alternatīva pieņemšanai, ka biomasas sastāvā nav, un noklusējuma biomasas frakciju 0 % apmērā piemērošanai. Attiecīgi aicinām izvērtēt, vai minētajā noteikumu projekta punktā nav attiecīgi jāprecizē, kādā gadījumā konkrētā informācija jāsniedz.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ja biomasas frakciju nosaka ar laboratoriskajām analīzēm, informāciju par izmantoto analītisko metodi un tās atbilstību dienesta apstiprinātam standartam un tā analītiskajām metodēm. Ja analītiskā metode nav tehniski piemērojama vai rada nesamērīgas izmaksas, operators iesniedz pamatojumu alternatīvas aplēses metodes izmantošanai atbilstoši regulas Nr. 2018/2066 39. panta 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domāts ar dienesta apstiprinātiem standartiem, kā arī skaidrot šo standartu pieejamību un saistošo spēku vai precizēt atsauci uz minētajiem standartiem. Vēršam uzmanību, ka atsauces uz standartiem normatīvajos aktos izdarāmas atbilstoši Standartizācijas likuma 13. panta prasībām un Ministru kabineta 2009.gada 3.februāra noteikumiem Nr.108 “Normatīvo aktu projektu sagatavošanas noteikumi”, proti, ja tiek izdarīta netieša atsauce uz standartiem, tad tiesību akta tekstā jāsniedz norāde uz piemērojamajiem standartiem kā iespējamo risinājumu tiesību akta prasību izpildei* vai alternatīvi izdarāma atsauce uz obligātajiem standartiem, bet šādā gadījumā noteikumu projektā šie standarti arī konkrēti jānorāda vai anotācijā jāskaidro, kādā normatīvajā aktā minētie standarti ir ietverti. Līdzīgi lūdzam skaidrojumu sniegt attiecībā uz dienesta analītiskajām metodēm vai precizēt atsauci, norādot ārējos normatīvos aktus, kur šīs metodes ir noteiktas.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pierādījumus par attiecīgā kurināmā biomasas frakcijas atbilstību ilgtspējas un siltumnīcefekta gāzu emisiju ietaupījuma kritērijiem, kā noteikts regulas Nr. 2018/2066 38. panta 5. punktā. Šo kritēriju saturs un to pierādīšanas kārtība tiek īstenota saskaņā ar  Ministru kabineta 2022. gada 2. novembra noteikumiem Nr. 686 "Noteikumi par ilgtspējas un siltumnīcefekta gāzu emisiju ietaupījuma kritērijiem, no biomasas kurināmā ražotās elektroenerģijas kritērijiem un kārtību, kādā pamatojama, apliecināma un uzraugāma atbilstība minētajiem kritērijiem" (turpmāk - noteikumi Nr. 686).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norādi uz kritēriju saturu un to pierādīšanas kārtības īstenošanu vai svītrot noteikumu projekta 7.1.3. apakšpunkta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pierādījumus par attiecīgā kurināmā biomasas frakcijas atbilstību ilgtspējas un siltumnīcefekta gāzu emisiju ietaupījuma kritērijiem, kā noteikts regulas Nr. 2018/2066 38. panta 5. punktā. Atbilstību pierāda saskaņā ar Ministru kabineta 2022. gada 2. novembra noteikumiem Nr. 686 "Noteikumi par ilgtspējas un siltumnīcefekta gāzu emisiju ietaupījuma kritērijiem, no biomasas kurināmā ražotās elektroenerģijas kritērijiem un kārtību, kādā pamatojama, apliecināma un uzraugāma atbilstība minētajiem kritērijiem" (turpmāk - noteikumi Nr. 686) un regulas Nr. 2018/2066 38. panta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informāciju, kas pamato zemākā sadegšanas siltuma un emisijas faktoru noteikšanas metodi un izmantotās zemākā sadegšanas siltuma vērtības, ja operators izmanto kurināmo, kas nav komerciālais standarta kurināmais regulas Nr. 2018/2066 3. panta 32. punkta izpratnē, un pierādījumus par 1 % novirzes robežas ievērošanu saskaņā ar regulas Nr. 2018/2066 31. panta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atļauju noteikt kurināmā zemāko siltumspēju un emisijas faktorus, izmantojot tās pašas pakāpes, kas prasītas komerciālajai standartdegvielai, kompetentā iestāde atbilstoši attiecīgajai regulas vienībai var sniegt, ja operators iesniedz attiecīgu iesniegumu, t.i., ne visos gadījumos, turklāt normā minētie pierādījumi atbilstoši regulai jāsniedz vismaz ik pēc trim gadiem, nevis vienreiz, iesniedzot noteikumu projekta 4. punktā ietverto iesniegumu, tādēļ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uz aprēķiniem balstīta metodoloģija ļauj noteikt emisijas no avotu plūsmām, pamatojoties uz darbības datiem, kas iegūti, izmantojot mērīšanas sistēmas, ar laboratoriskām analīzēm noteiktos papildu parametrus vai standartlielumus;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9.1., 9.2. un 9.3. apakšpunktu, nedublējot attiecīgās regulas 21. panta 1. punktā ietverto regulējumu. Vēršam uzmanību,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Līdzīgi lūdzam izvērtēt un svītrot noteikumu projekta 11. punktu un citas vienības,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Dienests atļauj operatoram apvienot uz aprēķiniem balstītās metodoloģijas standarta metodi, masas bilances metodi un uz mērījumiem balstīto metodoloģiju dažādiem emisiju avotiem un avotu plūsmām no vienas iekārtas, ja pēc šādas apvienošanas nerodas neuzskaitītas emisijas vai dubulta emisiju uzskaite.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normā norādītā dienesta atļauja apvienot tiek izsniegta atsevišķi no šo noteikumu 4. punktā minētās atļaujas, vai precizēt normu, paredzot, ka operators var apvienot attiecīgo metodi un metodoloģiju.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operators neizvēlas uz mērījumiem balstīto metodoloģiju, tas savas iekārtas darbībai piemēro uz aprēķiniem balstītu metodoloģiju, kas norādīta regulas Nr.  2018/2066 IV pielikumā, izņemot gadījumu, ja operators atļaujas iesniegumā dienestam pietiekami pamato, ka šīs metodoloģijas izmantošana nav tehniski iespējama, rada nesamērīgas izmaksas vai cita metodoloģija nodrošina augstāku vispārējo emisiju datu pareizību.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11. punktā norādīt arī uz gadījumiem, kad piemēro regulas IV pielikumā minēto metodoloģiju, ņemot vērā, ka no attiecīgās regulas vienības neizriet, ka IV  pielikumā minēto metodoloģiju piemēro visos gadījumos, kā alternatīvu uz mērījumiem balstītai metodoloģijai, bet gan IV pielikumā izklāstīto nozarēm specifisko prasību dēļ.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operators atļaujas iesniegumā vai tā pielikumos iekļautajai informācijai ir piešķīris komercnoslēpuma statusu, operators šo informāciju iesniedz atsevišķi, pievienojot attiecīgu norādi par komercnoslēpuma statusa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svītrot normu, nedublējot Komercnoslēpuma aizsardzības likuma 6. panta pirmajā daļā noteikto. Līdzīgi lūdzam izvērtēt un precizēt vai svītrot citas noteikumu projekta vienības, piemēram, 86.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Vienlaikus ar atļaujas iesniegumu operators iesniedz iesniegumu par nepieciešamajiem grozījumiem atļaujā A vai B kategorijas piesārņojošas darbības veikšanai vai par izmaiņām C kategorijas piesārņojošā darbībā vai iesniedz iesniegumu atļaujas saņemšanai A vai B kategorijas piesārņojošai darbībai, vai paziņo par C kategorijas piesārņojošas darbības veikšanu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konkrētais regulējums nav ietverams tieši normatīvajos aktos, kuri nosaka atļauju izsniegšanu piesārņojošas darbības veikšanai, nepieciešamības gadījumā svītrojot noteikumu projekta 20., 21., . Alternatīvi aicinām attiecīgās normas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iesniegumu operators iesniedz vienlaikus ar iesniegumu par nepieciešamajiem grozījumiem atļaujā A vai B kategorijas piesārņojošas darbības veikšanai vai par izmaiņām C kategorijas piesārņojošā darbībā vai iesniedz iesniegumu atļaujas saņemšanai A vai B kategorijas piesārņojošai darbībai, vai paziņo par C kategorijas piesārņojošas darbības veikšanu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operators nav ievērojis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nosacījumus, dienests 10 darbdienu laikā pieņem lēmumu par atļaujas A vai B kategorijas piesārņojošas darbības veikšanai izsniegšanas vai pārskatīšanas procedūras uzsākšanu un informē par to attiecīgo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atskaites punktu 10 darbdienu termiņa aprēķināšanai,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Regulas Nr. 2018/2066 69. panta 2. un 3. punktā noteikto informāciju operators dienestā iesniedz šādos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iespēju robežās izvairīties no regulas prasību pārrakstīšanas, tā vietā 33. punktā norādot, ka attiecīgā informācija (to identificējot) iesniedzama attiecīgajā regulas vienībā norādītajos termiņos.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minēto informāciju dienests izvērtē 25 darbdienu laikā un pieņem bez iebildumiem, ja atzīst to par pamatotu, vai informē operatoru par nepieciešamajiem grozījumiem, nosakot termiņu, līdz kuram operatoram tie ir jāveic.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atskaites punktu 25 darbdienu aprēķināšanai, tādējādi nodrošinot attiecīgās normas nepārprotamu izteiksmi. Līdzīgi aicinām precizēt noteikumu projekta 27., 39., 47., 51., 92. punktu un citas vienības līdzīgos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ja mainītie emisiju aprēķina faktori nodrošinās emisiju noteikšanu ar lielāku precizitāti.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pamatot noteikumu projekta 36.4. apakšpunktā paredzēto pienākumu, ņemot vērā, ka pretēji pārējiem pamatiem grozījumu veikšanai iekārtas monitoringa plānā pirmšķietami minētajā apakšpunktā paredzētais pamats neizriet no Eiropas Savienības tiesību aktiem. Alternatīvi lūdzam svītrot noteikumu projekta 36.4.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operators, kurš saskaņā ar izsniegto atļauju emisiju monitoringam izmanto vienkāršotu monitoringa plānu, pārsniedz regulas Nr. 2018/2066 47. panta 2. punktā noteiktās robežvērtības, operators kopā ar šo noteikumu </w:t>
            </w:r>
            <w:r w:rsidR="00000000" w:rsidRPr="00000000" w:rsidDel="00000000">
              <w:rPr>
                <w:rtl w:val="0"/>
              </w:rPr>
              <w:t xml:space="preserve">55. </w:t>
            </w:r>
            <w:r w:rsidR="00000000" w:rsidRPr="00000000" w:rsidDel="00000000">
              <w:rPr>
                <w:rtl w:val="0"/>
              </w:rPr>
              <w:t xml:space="preserve">punktā</w:t>
            </w:r>
            <w:r w:rsidR="00000000" w:rsidRPr="00000000" w:rsidDel="00000000">
              <w:rPr>
                <w:rtl w:val="0"/>
              </w:rPr>
              <w:t xml:space="preserve"> minēto emisiju ziņojumu iesniedz dienestā pamatojumu, saskaņā ar kuru attiecīgās robežvērtības pēdējo piecu ziņošanas gadu laikā nav tikušas pārsniegtas un tās netiks pārsniegtas, sākot no nākamā ziņošanas gada un turpmāk.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iespēju robežās izvairīties no regulas prasību pārrakstīšanas, tā vietā normā pēc vārda "iesniedz" atsaucoties uz minētās regulas 47. panta 8. punkta pirmajā daļā minēto informāciju un, ja attiecināms - 47. panta 8. punkta trešajā daļā minēto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Dienests 20 darbdienu laikā izvērtē šo noteikumu </w:t>
            </w:r>
            <w:r w:rsidR="00000000" w:rsidRPr="00000000" w:rsidDel="00000000">
              <w:rPr>
                <w:rtl w:val="0"/>
              </w:rPr>
              <w:t xml:space="preserve">46. </w:t>
            </w:r>
            <w:r w:rsidR="00000000" w:rsidRPr="00000000" w:rsidDel="00000000">
              <w:rPr>
                <w:rtl w:val="0"/>
              </w:rPr>
              <w:t xml:space="preserve">punktā</w:t>
            </w:r>
            <w:r w:rsidR="00000000" w:rsidRPr="00000000" w:rsidDel="00000000">
              <w:rPr>
                <w:rtl w:val="0"/>
              </w:rPr>
              <w:t xml:space="preserve"> minēto pamatojumu un pieņem lēmumu atļaut operatoram arī turpmāk izmantot vienkāršotu monitoringa plānu vai pieņem lēmumu neapstiprināt iesniegto pamatojumu, uzdodot operatoram izstrādāt jaunus priekšlikumus monitoringa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47. un 51. punktu, jo 20 darbdienu termiņš atsevišķos mēnešos var pārsniegt Administratīvā procesa likumā noteikto viena mēneša termiņu, kurā iestādei jāpieņem administratīvais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Dienests ne retāk kā reizi piecos gados pārskata operatoriem izsniegtās atļaujas. Ja pēc pārbaudes dienests pieņem lēmumu par nepieciešamību veikt grozījumus atļaujā, tas 15 darbdienu laikā pēc lēmuma pieņemšanas par to rakstiski informē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to, ka nepieciešami grozījumi atļaujā, tiek pieņemts administratīvā procesa ietvaros, līdz ar to atbilstoši Administratīvā procesa likuma 70. panta otrajai daļai šādu lēmumu operatoram paziņo.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 operatoram izsniegtā A vai B kategorijas piesārņojošas darbības atļauja ir atcelta saskaņā ar likumu vai saskaņā ar normatīvajiem aktiem par kārtību, kādā piesakāmas A, B un C kategorijas piesārņojošas darbības un izsniedzamas atļaujas A un B kategorijas piesārņojošo darbību veikšanai, vai operatoram izsniegtā A vai B kategorijas piesārņojošas darbības atļauja saskaņā ar Administratīvā procesa likumu ir zaudējusi spēku;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52.5. apakšpunkta normu, ņemot vērā Administratīvā procesa likuma 70. panta trešajā daļā noteikto, proti, administratīvais akts ir spēkā tik ilgi, līdz to atceļ, izpilda vai vairs nevar izpildīt sakarā ar faktisko vai tiesisko apstākļu maiņu. Piemēram, ja administratīvais akts ir izpildīts, tas zaudē spēku un to vairs nevar atcelt.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Operators darbības un emisijas monitoringa rezultātus norāda darbības līmeņa ziņojumā. Darbības līmeņa ziņojumu sagatavo, ietverot informāciju, kas iekļauta darbības līmeņa ziņojuma iesniegšanai izstrādātajās Eiropas Komisijas publicētajās elektroniskajās veidnēs un ņemot vērā Eiropas Komisijas 2019. gada 31. oktobra Īstenošanas regulas (ES) 2019/1842, ar ko nosaka noteikumus Eiropas Parlamenta un Padomes Direktīvas 2003/87/EK piemērošanai attiecībā uz sīkāku kārtību, kā izdarāmi bezmaksas emisijas kvotu iedales pielāgojumi sakarā ar darbības līmeņa izmaiņām (turpmāk – regula Nr. 2019/1842), 3. panta otrajā daļā noteikto darbības līmeņa minimālo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Eiropas Komisijas publicēto elektronisko veidņu pieejamību un saistošo spēku attiecībā uz operatoriem (proti, vai tās ietvertas regulās), nepieciešamības gadījumā svītrojot noteikumu projektā ietvertās atsauces uz minēto veidni, pamatojoties uz Ministru kabineta 2009. gada 3. februāra noteikumi Nr. 108 "Normatīvo aktu projektu sagatavošanas noteikumi" 131. punktu, nodrošinot šīs veidnes pārņemšanu. Līdzīgi lūdzam skaidrot un nepieciešamības gadījumā svītrot noteikumu projekta 77. punktā ietverto atsauci uz Latvijas Nacionālā akreditācijas biroja noteikumiem un rekomendācijām.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 verificētājs pārzina normatīvajos aktos noteiktās prasības attiecībā uz verificējamām darbībām un informācijas sagatavošanas procedūru attiecībā uz katru emisijas avotu iekārtā, īpaši attiecībā uz datu apkopošanu, mērīšanu, aprēķiniem un ziņojuma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atbilstoši juridiskās tehnikas prasībām norādot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Verificētājs verifikācijas ziņojumā norāda tā atbilstību šādiem principiem – pilnīgums, konsekvence, pārredzamība, pareizība, izmaksu lietderība un ticamība – un sniedz apmierinošu verifikācijas atzinumu (verificē operatora sagatavoto emisiju ziņojumu),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73. punktā pieturzīmi iekavas aizstāt ar pieturzīmi domuzīme vai iekavas,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Latvijas Nacionālais akreditācijas birojs normatīvajos aktos par atbilstības novērtēšanas institūciju novērtēšanu, akreditāciju un uzraudzību noteiktajā kārtībā pieņem lēmumu par verificētāja akreditācijas atcelšanu, apturēšanu vai akreditācijas jomas samazināšanu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regulējumu, paredzot kurā gadījumā verificētāja akreditāciju aptur, kurā atceļ un kurā - samazina akreditācijas jomas.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 izvērtējot šo noteikumu </w:t>
            </w:r>
            <w:r w:rsidR="00000000" w:rsidRPr="00000000" w:rsidDel="00000000">
              <w:rPr>
                <w:rtl w:val="0"/>
              </w:rPr>
              <w:t xml:space="preserve">82. </w:t>
            </w:r>
            <w:r w:rsidR="00000000" w:rsidRPr="00000000" w:rsidDel="00000000">
              <w:rPr>
                <w:rtl w:val="0"/>
              </w:rPr>
              <w:t xml:space="preserve">punktā</w:t>
            </w:r>
            <w:r w:rsidR="00000000" w:rsidRPr="00000000" w:rsidDel="00000000">
              <w:rPr>
                <w:rtl w:val="0"/>
              </w:rPr>
              <w:t xml:space="preserve"> minēto sūdzību, konstatēts, ka verificētājs ir nopietni pārkāpis vai atkārtoti nav ievērojis regulas Nr. 2018/2067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83.3. apakšpunktā minētais pamats (pirmšķietami arī 83.1. un 83.2. apakšpunktā minētie pamati) izriet no attiecīgās regulas 54. panta 2. un 3. punkta, kur katrs no abiem punktiem paredz pamatu attiecīgi akreditācijas apturēšanai vai akreditācijas jomas samazināšanai, vai atcelšanai tādēļ lūdzam izvērtēt un noteikumu projektā atsaukties vienīgi uz minētajiem punktiem, izvairoties no dublēšanas. Norādām, ka no noteikumu projekta arī neizriet, kādēļ vienā gadījumā attiecīgs lēmums pieņemams nopietna regulas pārkāpuma vai atkārtota pārkāpuma gadījumā, citā gadījumā būtiska pārkāpuma, bet vēl citā pietiek ar jebkura regulas noteikuma neievērošanu, tādēļ nepieciešams izvērtēt un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Šo noteikumu </w:t>
            </w:r>
            <w:r w:rsidR="00000000" w:rsidRPr="00000000" w:rsidDel="00000000">
              <w:rPr>
                <w:rtl w:val="0"/>
              </w:rPr>
              <w:t xml:space="preserve">83. </w:t>
            </w:r>
            <w:r w:rsidR="00000000" w:rsidRPr="00000000" w:rsidDel="00000000">
              <w:rPr>
                <w:rtl w:val="0"/>
              </w:rPr>
              <w:t xml:space="preserve">punktā</w:t>
            </w:r>
            <w:r w:rsidR="00000000" w:rsidRPr="00000000" w:rsidDel="00000000">
              <w:rPr>
                <w:rtl w:val="0"/>
              </w:rPr>
              <w:t xml:space="preserve"> minēto lēmumu par verificētāja akreditācijas atsaukšanu, apturēšanu vai akreditācijas jomas samazināšanu Latvijas Nacionālais akreditācijas birojs nosūta lēmuma adresātam un informāciju par lēmuma pieņemšanu publicē savā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84. punktu atbilstoši Administratīvā procesa likuma 70. panta otrajā daļā noteiktajam, ka administratīvo aktu adresātam paziņo, nevis nosūta.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Latvijas Nacionālais akreditācijas birojs atjauno tā verificētāja akreditāciju, kura apturēta saskaņā ar šo noteikumu </w:t>
            </w:r>
            <w:r w:rsidR="00000000" w:rsidRPr="00000000" w:rsidDel="00000000">
              <w:rPr>
                <w:rtl w:val="0"/>
              </w:rPr>
              <w:t xml:space="preserve">83. </w:t>
            </w:r>
            <w:r w:rsidR="00000000" w:rsidRPr="00000000" w:rsidDel="00000000">
              <w:rPr>
                <w:rtl w:val="0"/>
              </w:rPr>
              <w:t xml:space="preserve">punktā</w:t>
            </w:r>
            <w:r w:rsidR="00000000" w:rsidRPr="00000000" w:rsidDel="00000000">
              <w:rPr>
                <w:rtl w:val="0"/>
              </w:rPr>
              <w:t xml:space="preserve"> minēto lēmumu,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Līguma par Eiropas Savienības darbību 288. pants satur tai skaitā aizliegumu pārrakstīt un interpretēt regulu normas dalībvalstu nacionālajos tiesību aktos. Vienlaikus Eiropas Savienības Tiesa ir atzinusi, ka, gadījumos, ja regula prasa tās piemērošanai nepieciešamu nacionālā tiesību akta pieņemšanu, izņēmuma gadījumos tomēr var tikt pieļauta regulu teksta daļu inkorporēšana nacionālajos tiesību aktos. Šāds gadījums var tikt pamatots vienīgi ar indivīdu interesēm saņemt tiem adresētu saskaņotu un labi uztveramu tiesību aktu, un regulu tiešā piemērojamība nepieļauj citus izņēmumu. Ievērojot minēto, ja noteikumu projekta 32., 85. punktā u.c. līdzīgos gadījumos, nolūkā nodrošināt saskaņotu un labi uztveramu tiesību aktu ,nepieciešams izņēmuma kārtā inkorporēt daļu no attiecīgo regulu prasībām, lūdzam noteikumu projekta anotācijā sniegt tam attiecīgu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Operators katru gadu līdz 15. martam dienestā iesniedz šo noteikumu </w:t>
            </w:r>
            <w:r w:rsidR="00000000" w:rsidRPr="00000000" w:rsidDel="00000000">
              <w:rPr>
                <w:rtl w:val="0"/>
              </w:rPr>
              <w:t xml:space="preserve">55.</w:t>
            </w:r>
            <w:r w:rsidR="00000000" w:rsidRPr="00000000" w:rsidDel="00000000">
              <w:rPr>
                <w:rtl w:val="0"/>
              </w:rPr>
              <w:t xml:space="preserve"> punktā minēto emisiju ziņojumu un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darbības līmeņa ziņojumu un atbilstošus verifikācijas ziņojumus, un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minēto informāciju un to pamatojošu dokumentāciju  un atbilstošu verifikācijas ziņojumu, norādot kura ziņojumos iekļautā informācija ir klasificējama kā komercnoslēpums.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projektu, nedublējot likumā "Par piesārņojumu" ietverto tiesisko regulējumu. Tostarp lūdzam noteikumu projekta 86. un 87. punktā nedublēt minētā likuma 32.</w:t>
            </w:r>
            <w:r w:rsidR="00000000" w:rsidRPr="00000000" w:rsidDel="00000000">
              <w:rPr>
                <w:vertAlign w:val="superscript"/>
                <w:rtl w:val="0"/>
              </w:rPr>
              <w:t xml:space="preserve">21</w:t>
            </w:r>
            <w:r w:rsidR="00000000" w:rsidRPr="00000000" w:rsidDel="00000000">
              <w:rPr>
                <w:rtl w:val="0"/>
              </w:rPr>
              <w:t xml:space="preserve"> panta septītajā daļā ietverto regulējumu, attiecīgi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Ja operators izbeidz darbību, šo noteikumu </w:t>
            </w:r>
            <w:r w:rsidR="00000000" w:rsidRPr="00000000" w:rsidDel="00000000">
              <w:rPr>
                <w:rtl w:val="0"/>
              </w:rPr>
              <w:t xml:space="preserve">87. </w:t>
            </w:r>
            <w:r w:rsidR="00000000" w:rsidRPr="00000000" w:rsidDel="00000000">
              <w:rPr>
                <w:rtl w:val="0"/>
              </w:rPr>
              <w:t xml:space="preserve">punktā</w:t>
            </w:r>
            <w:r w:rsidR="00000000" w:rsidRPr="00000000" w:rsidDel="00000000">
              <w:rPr>
                <w:rtl w:val="0"/>
              </w:rPr>
              <w:t xml:space="preserve"> minēto ziņojumu iesniegšanu nodrošina operatora administrators vai likvidators.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88. punktu, nedublējot normatīvos aktus, kas noteic maksātnespējas administratora un likvidatora kompetenci. Papildus lūdzam izvērtēt, vai noteikumu projekta 87. punkts nav papildināms, jo kontekstā ar 88. punktā minēto, no 87. punkta neizriet apstākļi, kādos ziņojuma iesniegšana būtu jānodrošina administratoram.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90.1.1. darbības līmeņa ziņojums un tā verifikācijas ziņojums ir iesniegts šajos noteikumos noteiktajos termiņos un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nav atrodams regulējums, ka darbības līmeņa ziņojums un tā verifikācijas ziņojums ir iesniedzami 3. punktā noteiktajā formātā bet 72. punktā norādīts uz iesniegšanu ETS informācijas sistēmā, tādēļ lūdzam precizēt noteikumu projekta 90.1.1. apakšpunktu, novēršot pretrunas un nodrošinot juridiskās tehnikas prasībām atbilstošu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91.3. izvērtē operatora iesniegtā emisijas ziņojuma un darbības līmeņa ziņojuma un to verifikācijas ziņojuma neapstiprināšanu, norādot visas konstatētās neatbilstības, un 2 darbdienu laikā rakstiski informē par to operatoru saskaņā ar Administratīvā procesa likuma 70.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lēmuma priekšmetu "</w:t>
            </w:r>
            <w:r w:rsidR="00000000" w:rsidRPr="00000000" w:rsidDel="00000000">
              <w:rPr>
                <w:u w:val="single"/>
                <w:rtl w:val="0"/>
              </w:rPr>
              <w:t xml:space="preserve">izvērtē</w:t>
            </w:r>
            <w:r w:rsidR="00000000" w:rsidRPr="00000000" w:rsidDel="00000000">
              <w:rPr>
                <w:rtl w:val="0"/>
              </w:rPr>
              <w:t xml:space="preserve"> operatora iesniegtā emisijas ziņojuma un darbības līmeņa ziņojuma un to verifikācijas ziņojuma </w:t>
            </w:r>
            <w:r w:rsidR="00000000" w:rsidRPr="00000000" w:rsidDel="00000000">
              <w:rPr>
                <w:u w:val="single"/>
                <w:rtl w:val="0"/>
              </w:rPr>
              <w:t xml:space="preserve">neapstiprināšanu</w:t>
            </w:r>
            <w:r w:rsidR="00000000" w:rsidRPr="00000000" w:rsidDel="00000000">
              <w:rPr>
                <w:rtl w:val="0"/>
              </w:rPr>
              <w:t xml:space="preserve">", norādot, piemēram, ka attiecīgos ziņojumus neapstiprina. Vienlaikus vēršam uzmanību, ka atbilstoši likumam "Par piesārņojumu" 32.</w:t>
            </w:r>
            <w:r w:rsidR="00000000" w:rsidRPr="00000000" w:rsidDel="00000000">
              <w:rPr>
                <w:vertAlign w:val="superscript"/>
                <w:rtl w:val="0"/>
              </w:rPr>
              <w:t xml:space="preserve">21</w:t>
            </w:r>
            <w:r w:rsidR="00000000" w:rsidRPr="00000000" w:rsidDel="00000000">
              <w:rPr>
                <w:rtl w:val="0"/>
              </w:rPr>
              <w:t xml:space="preserve"> devītajai daļai ziņojumu neapstiprina </w:t>
            </w:r>
            <w:r w:rsidR="00000000" w:rsidRPr="00000000" w:rsidDel="00000000">
              <w:rPr>
                <w:u w:val="single"/>
                <w:rtl w:val="0"/>
              </w:rPr>
              <w:t xml:space="preserve">vai noraida</w:t>
            </w:r>
            <w:r w:rsidR="00000000" w:rsidRPr="00000000" w:rsidDel="00000000">
              <w:rPr>
                <w:rtl w:val="0"/>
              </w:rPr>
              <w:t xml:space="preserve">, tādēļ nepieciešams atbilstoši precizēt noteikumu projektu vai nodrošināt grozījumu veikšana minētajā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precizēt normu, nodrošinot, ka ir nepārprotami skaidrs, kādos gadījumos piemērojams 91.3. apakšpunkts, bet kādos - 93. punkts, ņemot vērā, ka abi minētie punkti paredz atšķirīgas tiesiskās sekas neatbilstību konstatēšanas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91.3. izvērtē operatora iesniegtā emisijas ziņojuma un darbības līmeņa ziņojuma un to verifikācijas ziņojuma neapstiprināšanu, norādot visas konstatētās neatbilstības, un 2 darbdienu laikā rakstiski informē par to operatoru saskaņā ar Administratīvā procesa likuma 70.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91.3. apakšpunktu, ņemot vērā, ka atbilstoši Administratīvā procesa likuma 70. panta otrajai daļai administratīvo aktu paziņo adresātam, nevis informē par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Operatora pienākumu nepildīšana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pamatotu skaidrojumu, no kuras konkrēti normas (vai normām) izriet pilnvarojums noteikumu projekta 4. nodaļā ietvertā regulējuma noteikšanai. Ja attiecīgu skaidrojumu nav iespējams sniegt, lūdzam svītrot minēto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Dienests saskaņā ar šo noteikumu </w:t>
            </w:r>
            <w:r w:rsidR="00000000" w:rsidRPr="00000000" w:rsidDel="00000000">
              <w:rPr>
                <w:rtl w:val="0"/>
              </w:rPr>
              <w:t xml:space="preserve">97. </w:t>
            </w:r>
            <w:r w:rsidR="00000000" w:rsidRPr="00000000" w:rsidDel="00000000">
              <w:rPr>
                <w:rtl w:val="0"/>
              </w:rPr>
              <w:t xml:space="preserve">punktu</w:t>
            </w:r>
            <w:r w:rsidR="00000000" w:rsidRPr="00000000" w:rsidDel="00000000">
              <w:rPr>
                <w:rtl w:val="0"/>
              </w:rPr>
              <w:t xml:space="preserve"> aprēķinātās operatora emisijas izmanto, lai noteiktu likuma 32.</w:t>
            </w:r>
            <w:r w:rsidR="00000000" w:rsidRPr="00000000" w:rsidDel="00000000">
              <w:rPr>
                <w:vertAlign w:val="superscript"/>
                <w:rtl w:val="0"/>
              </w:rPr>
              <w:t xml:space="preserve">30</w:t>
            </w:r>
            <w:r w:rsidR="00000000" w:rsidRPr="00000000" w:rsidDel="00000000">
              <w:rPr>
                <w:rtl w:val="0"/>
              </w:rPr>
              <w:t xml:space="preserve"> panta trešajā daļā noteikto maksājumu.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99. punktu, nedublējot noteikumu projekta 97. punktā ietverto regulējumu vai precizēt atsauci uz 97.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Operators pirms reģistrēšanās ETS informācijas sistēmā iesniedz dienestā iesniegumu par šīs sistēmas lietošanu, izmantojot ministrijas tīmekļvietnē pieejamo iesnieguma veidlapu.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atbilstoši precizēt noteikumu projekta 108. un 109. punktu, ņemot vērā, ka tīmekļvietnē pieejamai veidlapai nav juridiski saistoša spēka.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Operators pirms reģistrēšanās ETS informācijas sistēmā iesniedz dienestā iesniegumu par šīs sistēmas lietošanu. Ministrija tīmekļvietnē publicē iesnieguma veidlapu".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 sadaļā skaidrot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2018. gada 19. decembra Īstenošanas regulas (ES) 2018/2066 par siltumnīcefekta gāzu emisiju monitoringu un ziņošanu saskaņā ar Eiropas Parlamenta un Padomes Direktīvu 2003/87/EK un ar ko groza Komisijas Regulu (ES) Nr. 601/2012, ar grozījumiem (turpmāk - regula Nr. 2018/2066), prasību ieviešanu noteikumu projektā, tostarp iemeslus minētās regulas 20. panta 3. punkta otrajā daļā, 21. panta 2. punktā, 28. panta 3. punktā, 33. panta 2. punktā, 35. panta 2. punktā, 37. panta 1. punkta otrajā daļā, 47. panta 1. punkta pirmajā daļā, 69. panta 1. punkta trešajā daļā un 4. punkta otrajā daļā ietvertās rīcības brīvības izmantošanai vai neizmantošanai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Komisijas 2018. gada 19. decembra Īstenošanas regulas (ES) 2018/2067 par datu verifikāciju un verificētāju akreditāciju saskaņā ar Eiropas Parlamenta un Padomes Direktīvu 2003/87/EK prasību ieviešanu noteikumu projektā, tostarp pamatojumu minētās regulas 34.a panta 4. punkta pirmajā daļā,  69. panta 1. punktā paredzētās rīcības brīvības izmantošanai vai neizmantošanai;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Komisijas 2018. gada 19. decembra Deleģētās regulas (ES) 2019/331, ar kuru nosaka Savienības mēroga pārejas noteikumus saskaņotai bezmaksas emisijas kvotu iedalei saskaņā ar Eiropas Parlamenta un Padomes Direktīvas 2003/87/EK 10.a pantu, ieviešanu noteikumu projektā, tostarp skaidrot pamatojumu minētās regulas 8. panta 4. punktā paredzētās rīcības brīvības izmantošanai vai neizmantošanai;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Komisijas 2019. gada 31. oktobra Īstenošanas regulas (ES) 2019/1842, ar ko nosaka noteikumus Eiropas Parlamenta un Padomes Direktīvas 2003/87/EK piemērošanai attiecībā uz sīkāku kārtību, kā izdarāmi bezmaksas emisijas kvotu iedales pielāgojumi sakarā ar darbības līmeņa izmaiņām, ieviešanu noteikumu projektā, tostarp skaidrot šīs regulas 3. panta 2. punkta otrajā daļā, 3. punkta pirmajā teikumā, 3. punkta sestajā daļā ietvertās rīcības brīvības izmantošanu vai neizmantošanu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Parlamenta un Padomes 2003.gada 13.oktobra Direktīvas 2003/87/EK, ar kuru nosaka siltumnīcefekta gāzu emisijas kvotu tirdzniecības sistēmas izveidi Kopienā un groza Padomes Direktīvu 96/61/EK, 6. panta 1. punkta otrās daļas, 15. a panta, un 18. panta pārņemšanu noteikumu projektā. Aicinām arī skaidrot, vai 15. panta pirmā daļa nav pārņemta pamatā noteikumu projekta 3.4. apakšnodaļā, bet 15. panta otrā daļa - likuma "Par piesārņojumu" 32.</w:t>
            </w:r>
            <w:r w:rsidR="00000000" w:rsidRPr="00000000" w:rsidDel="00000000">
              <w:rPr>
                <w:vertAlign w:val="superscript"/>
                <w:rtl w:val="0"/>
              </w:rPr>
              <w:t xml:space="preserve">21</w:t>
            </w:r>
            <w:r w:rsidR="00000000" w:rsidRPr="00000000" w:rsidDel="00000000">
              <w:rPr>
                <w:rtl w:val="0"/>
              </w:rPr>
              <w:t xml:space="preserve"> panta devītajā daļā. Papildus aicinām 5.4. apakšsadaļas 1. tabulā detalizētāk skaidrot, kā pārņemtas direktīvas IV pielikuma prasības, jo, piemēram, no noteikumu projekta 7.1. un 7.2. apakšpunkta neizriet vispārējs regulējums, ka emisiju monitoringu veic vai nu pēc aprēķiniem, vai mērījumiem; no noteikumu projekta pirmšķietami neizriet A daļas nodaļa "Aprēķināšana" trešās daļas regulējums par emisiju koeficientiem, nav arī skaidrs, kā nodaļa "Ziņošana par emisiju" pārņemta norādītajās vienībās, kas neparedz detalizētu informāciju, ko norāda ziņojumā par iekārtu utt. Kā arī aicinām skaidrot pamatojumu minētās direktīvas 8. panta 1. punkta otrajā teikumā ietvertās rīcības brīvības izmantošanai vai neizmantošanai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stacionāro tehnoloģisko iekārtu dalību Eiropas Savienības emisijas kvotu tirdzniecības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nosaukumu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"Stacionāro tehnoloģisko iekārtu dalības noteikumi Eiropas Savienības emisijas kvotu tirdzniecības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piesārņojumu " 32.</w:t>
            </w:r>
            <w:r w:rsidR="00000000" w:rsidRPr="00000000" w:rsidDel="00000000">
              <w:rPr>
                <w:vertAlign w:val="superscript"/>
                <w:rtl w:val="0"/>
              </w:rPr>
              <w:t xml:space="preserve">18 </w:t>
            </w:r>
            <w:r w:rsidR="00000000" w:rsidRPr="00000000" w:rsidDel="00000000">
              <w:rPr>
                <w:rtl w:val="0"/>
              </w:rPr>
              <w:t xml:space="preserve">panta septīto daļu,  32.</w:t>
            </w:r>
            <w:r w:rsidR="00000000" w:rsidRPr="00000000" w:rsidDel="00000000">
              <w:rPr>
                <w:vertAlign w:val="superscript"/>
                <w:rtl w:val="0"/>
              </w:rPr>
              <w:t xml:space="preserve">21</w:t>
            </w:r>
            <w:r w:rsidR="00000000" w:rsidRPr="00000000" w:rsidDel="00000000">
              <w:rPr>
                <w:rtl w:val="0"/>
              </w:rPr>
              <w:t xml:space="preserve"> panta desmitās daļas 1., 2. un 6. punktu un likuma "Par atbilstības novērtēšanu" 7.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projekta 1. punktu, rakstot arī likuma "Par atbilstības novērtēšanu" 7. panta pirmajā daļā ietverto pilnvarojumu. Vienlaikus vēršam uzmanību, ka atbilstoši juridiskās tehnikas prasībām, ja likumos ir gan vispārīgs, gan speciāls pilnvarojums Ministru kabinetam, noteikumos ietver norādi uz speciālo pilnvarojumu. Attiecīgi, ja faktiski likumā "Par piesārņojumu" norādītais pilnvarojums ir speciālais iepretim likuma "Par atbilstības novērtēšanu" 7. panta pirmajā daļā minētajam, lūdzam norādē uz noteikumu izdošanas pamatu svītrot atsauci uz likuma "Par atbilstības novērtēšanu" 7.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 stacionārajām tehnoloģiskajām iekārtām, kurās tiek veikta kāda no likuma 2. pielikuma I. sadaļā minētajām darbībām, kā arī uz stacionārajām tehnoloģiskajām iekārtām, kas atbilst likuma 32.</w:t>
            </w:r>
            <w:r w:rsidR="00000000" w:rsidRPr="00000000" w:rsidDel="00000000">
              <w:rPr>
                <w:vertAlign w:val="superscript"/>
                <w:rtl w:val="0"/>
              </w:rPr>
              <w:t xml:space="preserve">16</w:t>
            </w:r>
            <w:r w:rsidR="00000000" w:rsidRPr="00000000" w:rsidDel="00000000">
              <w:rPr>
                <w:rtl w:val="0"/>
              </w:rPr>
              <w:t xml:space="preserve"> panta septītajai daļai (turpmāk – iekārta) un saistītām darbībām, kas ietilpst iekārtu robežās.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atrunāt saīsinājumu "likums" (likums "Par piesārņojumu"). Līdzīgi lūdzam atrunāt saīsinājumu "atļauja".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Operators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minēto iesniegumus par atļaujas izdošanu, tās grozījumiem un atcelšanu iesniedz saskaņā ar Administratīvā procesa likuma 56.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lietot likumā "Par piesārņojumu" izmantoto terminoloģiju un norādīt uz potenciālajiem operatoriem, kur tas noteikumu projektā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procedūru aprakstus saskaņā ar Komisijas 2018. gada 19. decembra Īstenošanas regulu (ES) 2018/2066 par siltumnīcefekta gāzu emisiju monitoringu un ziņošanu saskaņā ar Eiropas Parlamenta un Padomes Direktīvu 2003/87/EK un ar ko groza Komisijas Regulu (ES) Nr. 601/2012, ar grozījumiem, (turpmāk – regula Nr. 2018/2066) I pielikuma 1.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attiecīgās regulas nosaukumu (Komisijas 2018. gada 19. decembra Īstenošanas regula (ES) 2018/2066 </w:t>
            </w:r>
            <w:r w:rsidR="00000000" w:rsidRPr="00000000" w:rsidDel="00000000">
              <w:rPr>
                <w:u w:val="single"/>
                <w:rtl w:val="0"/>
              </w:rPr>
              <w:t xml:space="preserve">par siltumnīcefekta gāzu emisiju monitoringu un ziņošanu saskaņā ar Eiropas Parlamenta un Padomes Direktīvu 2003/87/EK un ar ko groza Komisijas Regulu (ES) Nr. 601/2012</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operators izmanto atkritumus Atkritumu likuma izpratnē vai atkritumu kurināmo vai jauktu kurināmo ar biomasas (biogēno) frakciju un attiecīgā plūsma tiek tieši sadedzināta Eiropas Savienības emisijas kvotu tirdzniecības sistēmā iekļautā stacionārajā iekārtā, operators biomasas frakcijas noteikšanas, un ilgtspējas un siltumnīcefekta gāzu emisiju ietaupījuma kritēriju piemērošanas procedūras aprakstā var norādīt, ka atsevišķs siltumnīcefekta gāzu emisiju ietaupījuma aprēķins plūsmai nav attiecināms. Dienests atzīt šādu atvieglojumu, ja izpildās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svītrot iekavās ietverto norādi, ka frakcija ir biogēna, kas noteikumu projektā nav lietota konsekventi. Norādām, ka atbilstoši juridiskās tehnikas prasībām normatīvajā aktā nelieto sinonīmus un vienu lietu konsekventi sauc vienā un tajā pašā vārdā.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izstrādātu atļaujas iesniegumā norādāmos priekšlikumus monitoringa veikšanas nosacījumiem, operators atbilstoši regulai Nr. 2018/2066 nosaka iekārtas kategoriju, avota plūsmu kategorijas (ja piemērojams) un monitoringa 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norādīt konkrētas attiecīgās regulas vienības,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Dienests 10 darbdienu laikā pēc atļaujas iesnieguma saņemšanas izvērtē un rakstiski informē operatoru par nepieciešamo papildu informāciju, ja atļaujas iesniegumā nav norādīta visa vides aizsardzību regulējošajos normatīvajos aktos noteiktā informācija, vai papildu dokumentiem, ja atļaujas iesniegumam nav pievienoti visi attiecīgie apraksti vai pielikumi vai nav pievienoti informāciju pamatojoši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atļaujas iesniegumā  informāciju norāda atbilstoši noteikumu projekta 4. punktam un I pielikumam, tādēļ lūdzam izvērtēt un attiecīgi precizēt vai papildināt atsauci uz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norādīt, kādai ministrijai iesniegumu nosūta.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Dienests divu darbdienu laikā pēc priekšlikumu saņemšanas informē par tiem operatoru, norādot termiņu, kas nav mazāks par piecām darbdienām, līdz kuram operatoram jāsniedz skaidrojums par saņemtajiem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vai norma attiecas uz brīdi, kad saņemti visi priekšlikumi, kas iesniegti noteiktajā termiņā, lai izslēgtu interpretācijas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šo noteikumu </w:t>
            </w:r>
            <w:r w:rsidR="00000000" w:rsidRPr="00000000" w:rsidDel="00000000">
              <w:rPr>
                <w:rtl w:val="0"/>
              </w:rPr>
              <w:t xml:space="preserve">72. </w:t>
            </w:r>
            <w:r w:rsidR="00000000" w:rsidRPr="00000000" w:rsidDel="00000000">
              <w:rPr>
                <w:rtl w:val="0"/>
              </w:rPr>
              <w:t xml:space="preserve">punktā</w:t>
            </w:r>
            <w:r w:rsidR="00000000" w:rsidRPr="00000000" w:rsidDel="00000000">
              <w:rPr>
                <w:rtl w:val="0"/>
              </w:rPr>
              <w:t xml:space="preserve"> minētajā verifikācijas ziņojumā saskaņā ar Eiropas Komisijas 2018. gada 19. decembra Īstenošanas regulas (ES) 2018/2067 par datu verifikāciju un verificētāju akreditāciju saskaņā ar Eiropas Parlamenta un Padomes Direktīvu 2003/87/EK (turpmāk – regula Nr. 2018/2067) 27., 29. un 30. punktu ir norādīti uzlabojumu ieteikumi vai nenovērstās nebūtiskās neatbilstības, operators līdz tā paša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atsauces uz punktiem vietā norādot uz attiecīgās regulas pantiem.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ja operators plāno izmaiņas iekārtā, tās darbībā vai iekārtas darbības līmenī sakarā ar jaudas samazināšanu vai iekārtas paplašināšanu, tai skaitā iegūstot savā īpašumā visas citam operatoram piederošās stacionārās tehnoloģiskās iekārtas vai īrējot visas citam operatoram piederošās stacionārās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korespondējošajā direktīvas vienībā norādīts uz jaudas būtisku samazināšanu, tādēļ aicinām izvērtēt un attiecīgi papildināt noteikumu projektu, noteikumu projekta anotācijā skaidrot, kādos gadījumos jaudas samazināšanu būtu būtiska.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operatora saskaņā ar normatīvajiem aktiem par vides aizsardzības valsts statistikas pārskatu veidlapām iesniegto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atsauci uz attiecīgo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operatora saskaņā ar normatīvajiem aktiem par vides aizsardzības oficiālās statistikas un piesārņojošās darbības pārskata veidlapām;"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operators saskaņā ar likuma 32.</w:t>
            </w:r>
            <w:r w:rsidR="00000000" w:rsidRPr="00000000" w:rsidDel="00000000">
              <w:rPr>
                <w:vertAlign w:val="superscript"/>
                <w:rtl w:val="0"/>
              </w:rPr>
              <w:t xml:space="preserve">24</w:t>
            </w:r>
            <w:r w:rsidR="00000000" w:rsidRPr="00000000" w:rsidDel="00000000">
              <w:rPr>
                <w:rtl w:val="0"/>
              </w:rPr>
              <w:t xml:space="preserve"> pantu ir iekļauts iekārtu sarakstā, kuru ministrija atbilstoši spēkā esošajam regulējumam izstrādājusi kādam no likuma 32.</w:t>
            </w:r>
            <w:r w:rsidR="00000000" w:rsidRPr="00000000" w:rsidDel="00000000">
              <w:rPr>
                <w:vertAlign w:val="superscript"/>
                <w:rtl w:val="0"/>
              </w:rPr>
              <w:t xml:space="preserve">18</w:t>
            </w:r>
            <w:r w:rsidR="00000000" w:rsidRPr="00000000" w:rsidDel="00000000">
              <w:rPr>
                <w:rtl w:val="0"/>
              </w:rPr>
              <w:t xml:space="preserve"> panta ceturtajā daļā minētā 10 gadu perioda piecu gadu ciklam, iesniedzot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minēto iesniegumu par monitoringa plāna grozījumiem, kā monitoringa plāna pielikumu, ja attiecināms, iesniedz monitoringa metodikas plānu vai tā grozījumus, kā noteikts Eiropas Komisijas 2018. gada 19. decembra Deleģētās regulas (ES) 2019/331, ar kuru nosaka Savienības mēroga pārejas noteikumus saskaņotai bezmaksas emisijas kvotu iedalei saskaņā ar Eiropas Parlamenta un Padomes Direktīvas 2003/87/EK 10.a pantu (turpmāk – regula Nr. 2019/331) 8. un 9.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atsauci "atbilstoši spēkā esošajam regulējumam" vai precizēt atbilstoši juridiskās tehnikas prasībām, norādot normatīvos aktus vai konkrētu to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operators saskaņā ar likuma 32.</w:t>
            </w:r>
            <w:r w:rsidR="00000000" w:rsidRPr="00000000" w:rsidDel="00000000">
              <w:rPr>
                <w:vertAlign w:val="superscript"/>
                <w:rtl w:val="0"/>
              </w:rPr>
              <w:t xml:space="preserve">24</w:t>
            </w:r>
            <w:r w:rsidR="00000000" w:rsidRPr="00000000" w:rsidDel="00000000">
              <w:rPr>
                <w:rtl w:val="0"/>
              </w:rPr>
              <w:t xml:space="preserve"> pantu ir iekļauts iekārtu sarakstā, kuru ministrija atbilstoši spēkā esošajam regulējumam izstrādājusi kādam no likuma 32.</w:t>
            </w:r>
            <w:r w:rsidR="00000000" w:rsidRPr="00000000" w:rsidDel="00000000">
              <w:rPr>
                <w:vertAlign w:val="superscript"/>
                <w:rtl w:val="0"/>
              </w:rPr>
              <w:t xml:space="preserve">18</w:t>
            </w:r>
            <w:r w:rsidR="00000000" w:rsidRPr="00000000" w:rsidDel="00000000">
              <w:rPr>
                <w:rtl w:val="0"/>
              </w:rPr>
              <w:t xml:space="preserve"> panta ceturtajā daļā minētā 10 gadu perioda piecu gadu ciklam, iesniedzot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minēto iesniegumu par monitoringa plāna grozījumiem, kā monitoringa plāna pielikumu, ja attiecināms, iesniedz monitoringa metodikas plānu vai tā grozījumus, kā noteikts Eiropas Komisijas 2018. gada 19. decembra Deleģētās regulas (ES) 2019/331, ar kuru nosaka Savienības mēroga pārejas noteikumus saskaņotai bezmaksas emisijas kvotu iedalei saskaņā ar Eiropas Parlamenta un Padomes Direktīvas 2003/87/EK 10.a pantu (turpmāk – regula Nr. 2019/331) 8. un 9.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konsekventi atsaukties uz iesnieguma priekšmetu (šobrīd norādīts, piem., uz iesniegumu par monitoringa plāna grozījumiem, bet cituviet - uz iesniegumu par atļaujā nepieciešamajiem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tas konstatē, ka iekārta ir beigusi savu darbību, tai skaitā ja operators savas iekārtas neizmanto ražošanā vai to izmantošana nav iespējama, operators visas savā īpašumā esošās stacionārās tehnoloģiskās iekārtas ir demontējis, pārdevis vai izīrējis (nodevis iekārtas ekspluatācijā citam komersantam, tāpēc iekārtu izīrētājs vairs neveic likuma 2. pielikuma I. sadaļā minēto darbību, kuru savukārt veic iekārtu īrētājs);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terminoloģiju, vārdu "īrētājs" aizstājot ar vārdu "īrnieks". Vienlaikus lūdzam pārskatīt noteikumu projektu un izvērtēt, vai īres vietā noteikumu projektā nebūtu jānorāda uz nomu, ņemot vērā, ka tieši noma atbilstoši Civillikumam ir saistīta ar iespēju no lietojumā saņemtās lietas gūt peļņu pašam nomniekam, kas konkrētajā gadījumā ir komersants.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Operators emisijas monitoringa rezultātus norāda emisiju ziņojumā. Emisiju ziņojumu sagatavo, izmantojot ETS informācijas sistēmu, un ņemot vērā regulas Nr. 2018/2066 X un X.a pielikumā noteikto gada ziņojumu minimālo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iekļaut skaidrojumu saīsinājumam "ETS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Operators saskaņā ar likuma 32.</w:t>
            </w:r>
            <w:r w:rsidR="00000000" w:rsidRPr="00000000" w:rsidDel="00000000">
              <w:rPr>
                <w:vertAlign w:val="superscript"/>
                <w:rtl w:val="0"/>
              </w:rPr>
              <w:t xml:space="preserve">28</w:t>
            </w:r>
            <w:r w:rsidR="00000000" w:rsidRPr="00000000" w:rsidDel="00000000">
              <w:rPr>
                <w:rtl w:val="0"/>
              </w:rPr>
              <w:t xml:space="preserve"> pantu kopā ar emisiju ziņojumu sagatavo arī informāciju par to finanšu līdzekļu izlietojumu, kurus operators attiecīgajā kalendāra gadā ir guvis, pārdodot emisijas kvotas, kas viņam bija piešķirtas bez maksas saskaņā ar normatīvajiem aktiem par emisijas kvotu piešķiršanas kārtību stacionāro tehnoloģisko iekārtu operatoriem. Informācijā norāda iegūto finanšu līdzekļu apjomu un norāda, kādiem normatīvajos aktos par piesārņojumu minētajiem pasākumiem šie finanšu līdzekļi ir tikuši izlietoti.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ar likumu un normatīvajiem aktiem par piesārņojumu nav saprotams viens un tas pats, un nepieciešamības gadījumā precizēt, nodrošinot vienveidīgu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operators emisiju ziņojumā izmanto oglekļa dioksīda emisiju aprēķināšanas metodoloģiju, ko Latvijas Vides, ģeoloģijas un meteoroloģijas centrs publicē savā tīmekļvietnē katru gadu līdz 10. janvārim, tad operators konkrētā gada emisiju ziņojumu sagatavo pēc minētās metodoloģijas publicēšanas Latvijas Vides, ģeoloģijas un meteoroloģijas centra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svītrot vai precizēt noteikumu projekta 57. punktu. Norādām, ka attiecīgais ziņojums iesniedzams līdz 15. martam, kas nav šķērslis oglekļa dioksīda emisiju aprēķināšanas metodoloģijas izmantošanai, ja minētā metodoloģija tiek publicēta līdz 10. janvārim, turklāt norāde, ka ziņojumu sagatavo pēc metodoloģijas publicēšanas, ir neskaidra, jo no normas neizriet termiņš, kādā ziņojums sagatavojams un iesniedzams pēc metodoloģijas publicēšanas konkrētajā tīmekļvietnē, jo īpaši, ja metodoloģija netiek publicēta līdz 10. janvārim.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Operators darbības un emisijas monitoringa rezultātus norāda darbības līmeņa ziņojumā. Darbības līmeņa ziņojumu sagatavo, ietverot informāciju, kas iekļauta darbības līmeņa ziņojuma iesniegšanai izstrādātajās Eiropas Komisijas publicētajās elektroniskajās veidnēs un ņemot vērā Eiropas Komisijas 2019. gada 31. oktobra Īstenošanas regulas (ES) 2019/1842, ar ko nosaka noteikumus Eiropas Parlamenta un Padomes Direktīvas 2003/87/EK piemērošanai attiecībā uz sīkāku kārtību, kā izdarāmi bezmaksas emisijas kvotu iedales pielāgojumi sakarā ar darbības līmeņa izmaiņām (turpmāk – regula Nr. 2019/1842), 3. panta otrajā daļā noteikto darbības līmeņa minimālo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norādot konkrētu attiecīgās regulas 3. panta punktu, kura otrā daļa satur minimālo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59.3. Operators emisiju ziņojumā neveic emisiju aprēķinā izmantoto datu un starprezultātu noapaļošanu, bet noapaļo tikai gala rezultātu – gada kopējo emisiju apjomu (tonnās).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59.3. apakšpunktu ar 59. punkta ievaddaļu, nepieciešamības gadījumā izdalot 59.3. apakšpunktā ietverto saturu atsevišķā noteikumu projekta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Emisiju ziņojuma un darbības līmeņa ziņojuma ziņojuma verificēšana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("ziņojuma ziņojuma").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pārzina prasības, kas noteiktas Eiropas Parlamenta un Padomes 2003. gada 13. oktobra Direktīvā 2003/87/EK, ar kuru nosaka sistēmu siltumnīcas efektu izraisošo gāzu emisijas kvotu tirdzniecībai Kopienā un groza Padomes Direktīvu 96/61/EK;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tā, ka konkrētās normas prasības īsteno attiecīgās direktīvas V pielikumā minēto, aicinām noteikumu projekta 61. punktā iespēju robežās nepārrakstīt regulā ietverto tiesisko regulējumu,  tā vietā atsaucoties uz attiecīgās regulas normām, kas paredz konkrētās verificētāja prasības, un tādējādi izvairoties no regulā ietverto prasību interpretēšanas. Līdzīgi lūdzam izvērtēt un svītrot vai precizēt noteikumu projekta 68. punktu (izvairoties no regulā minēto apstākļu skaidrošanas)  u.c.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 nodrošina galvenā verificētāja rotāciju saskaņā ar regulas Nr. 2018/2067 43. panta astoto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vārdus "astoto sadaļu" aizstājot ar vārdu un skaitli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Ārkārtējos un nepārvaramos apstākļos, kad nav iespējams fizisks iekārtas apmeklējums ka noteikts šo noteikumu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verificētājs var pieņemt lēmumu veikt virtuālu iekārtas apmeklējumu un pieprasīt dienestam attiecīgu atļauju. Pieteikumu iesniedz un apstiprina saskaņā ar regulas Nr.  2018/2067 34.a pantā noteiktajām prasībām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tehniski precizēt, jo iekārtas apmeklējumu paredz šo noteikumu 66., nevis 65.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Operators iesniedz dienestā pieteikumu par šo noteikumu </w:t>
            </w:r>
            <w:r w:rsidR="00000000" w:rsidRPr="00000000" w:rsidDel="00000000">
              <w:rPr>
                <w:rtl w:val="0"/>
              </w:rPr>
              <w:t xml:space="preserve">68. </w:t>
            </w:r>
            <w:r w:rsidR="00000000" w:rsidRPr="00000000" w:rsidDel="00000000">
              <w:rPr>
                <w:rtl w:val="0"/>
              </w:rPr>
              <w:t xml:space="preserve">punktā</w:t>
            </w:r>
            <w:r w:rsidR="00000000" w:rsidRPr="00000000" w:rsidDel="00000000">
              <w:rPr>
                <w:rtl w:val="0"/>
              </w:rPr>
              <w:t xml:space="preserve"> minētā verificētāja lēmuma apstiprināšanu. Dienests 10 darbdienu laikā pēc operatora pieteikuma saņemšanas, izvērtējot regulas Nr. 2018/2067 31. panta 1. punktā minētos nosacījumus un ņemot vērā šīs regulas 32. pantā minētos nosacījumus, apstiprina verificētāja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tehniski precizēt atsauci uz šo noteikumu 68. punktu (pirmšķietami domāts 67.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74.4. visu konstatēto nepatieso apgalvojumu summa nepārsniedz regulas Nr. 2018/2067 23. panta ceturtajā daļā noteikto būtiskuma līmeni – 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vārdus " ceturtajā daļā" aizstājot ar vārdu un skaitli "4.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izvērtējot šo noteikumu </w:t>
            </w:r>
            <w:r w:rsidR="00000000" w:rsidRPr="00000000" w:rsidDel="00000000">
              <w:rPr>
                <w:rtl w:val="0"/>
              </w:rPr>
              <w:t xml:space="preserve">80. </w:t>
            </w:r>
            <w:r w:rsidR="00000000" w:rsidRPr="00000000" w:rsidDel="00000000">
              <w:rPr>
                <w:rtl w:val="0"/>
              </w:rPr>
              <w:t xml:space="preserve">81. punktā</w:t>
            </w:r>
            <w:r w:rsidR="00000000" w:rsidRPr="00000000" w:rsidDel="00000000">
              <w:rPr>
                <w:rtl w:val="0"/>
              </w:rPr>
              <w:t xml:space="preserve"> minēto dienesta ziņojumu, konstatēts būtisks pārkāpums verificētāja darbībās;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("80. 81.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 stājies spēkā dienesta lēmums par atļaujas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konkrēti norādīt, par kādu atļauju iet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Ja operators izbeidz darbību, šo noteikumu </w:t>
            </w:r>
            <w:r w:rsidR="00000000" w:rsidRPr="00000000" w:rsidDel="00000000">
              <w:rPr>
                <w:rtl w:val="0"/>
              </w:rPr>
              <w:t xml:space="preserve">87. </w:t>
            </w:r>
            <w:r w:rsidR="00000000" w:rsidRPr="00000000" w:rsidDel="00000000">
              <w:rPr>
                <w:rtl w:val="0"/>
              </w:rPr>
              <w:t xml:space="preserve">punktā</w:t>
            </w:r>
            <w:r w:rsidR="00000000" w:rsidRPr="00000000" w:rsidDel="00000000">
              <w:rPr>
                <w:rtl w:val="0"/>
              </w:rPr>
              <w:t xml:space="preserve"> minēto ziņojumu iesniegšanu nodrošina operatora administrators vai likvidators.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norādot, par kādu administratoru (maksātnespējas) normā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Dienests var veikt konservatīvas aplēses par jebkuru darbības līmeņa ziņojuma parametru regulas Nr. 2019/1842 3. panta ceturtajā daļā noteiktajās situācijās.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"ceturtajā daļā" aizstāt ar vārdu un skaitli "4. punkta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Dienests katru gadu līdz 30. aprīlim dienests savā tīmekļvietnē publicē emisiju ziņojuma apstiprinājumu vai lēmumu par neapstiprināšanu.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publicējams nav lēmums par emisiju ziņojuma apstiprināšanu, un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Dienests piecu darbdienu laikā pēc attiecīgā lēmuma pieņemšanas nosūta Latvijas Vides, ģeoloģijas un meteoroloģijas centram un ministrijai šo noteikumu </w:t>
            </w:r>
            <w:r w:rsidR="00000000" w:rsidRPr="00000000" w:rsidDel="00000000">
              <w:rPr>
                <w:rtl w:val="0"/>
              </w:rPr>
              <w:t xml:space="preserve">50.</w:t>
            </w:r>
            <w:r w:rsidR="00000000" w:rsidRPr="00000000" w:rsidDel="00000000">
              <w:rPr>
                <w:rtl w:val="0"/>
              </w:rPr>
              <w:t xml:space="preserve"> un </w:t>
            </w:r>
            <w:r w:rsidR="00000000" w:rsidRPr="00000000" w:rsidDel="00000000">
              <w:rPr>
                <w:rtl w:val="0"/>
              </w:rPr>
              <w:t xml:space="preserve">52. </w:t>
            </w:r>
            <w:r w:rsidR="00000000" w:rsidRPr="00000000" w:rsidDel="00000000">
              <w:rPr>
                <w:rtl w:val="0"/>
              </w:rPr>
              <w:t xml:space="preserve">punktā</w:t>
            </w:r>
            <w:r w:rsidR="00000000" w:rsidRPr="00000000" w:rsidDel="00000000">
              <w:rPr>
                <w:rtl w:val="0"/>
              </w:rPr>
              <w:t xml:space="preserve"> minēto lēmumu par atļaujas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atsauci uz šo noteikumu 50. punktu, jo attiecīgais lēmums šajā punktā nav minēts.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Informāciju publicē šādās vietnēs: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norādīt, par kādu informāciju konkrētajā gadījumā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Atzīt par spēku zaudējušiem Ministru kabineta 2012. gada 13. novembrā noteikumus Nr.769 Rīgā "Noteikumi par stacionāro tehnoloģisko iekārtu dalību Eiropas Savienības emisijas kvotu tirdzniecības sistēmā" (Latvijas Vēstnesis, 2012, 190. nr.; 2014, 131. nr.; 2017, 71. nr.; 2018, 49. nr.; 2021, 66.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un svītrot vārdu "Rīgā".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Atzīt par spēku zaudējušiem Ministru kabineta 2012. gada 13. novembrā noteikumus Nr.769 Rīgā "Noteikumi par stacionāro tehnoloģisko iekārtu dalību Eiropas Savienības emisijas kvotu tirdzniecības sistēmā" (Latvijas Vēstnesis, 2012, 190. nr.; 2014, 131. nr.; 2017, 71. nr.; 2018, 49. nr.; 2021, 66.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nodaļas "Noslēguma jautājumi" secību atbilstoši Ministru kabineta 2009. gada 3. februāra noteikumu Nr. 108 "Normatīvo aktu projektu sagatavošanas noteikumi"  116.</w:t>
            </w:r>
            <w:r w:rsidR="00000000" w:rsidRPr="00000000" w:rsidDel="00000000">
              <w:rPr>
                <w:vertAlign w:val="superscript"/>
                <w:rtl w:val="0"/>
              </w:rPr>
              <w:t xml:space="preserve">1</w:t>
            </w:r>
            <w:r w:rsidR="00000000" w:rsidRPr="00000000" w:rsidDel="00000000">
              <w:rPr>
                <w:rtl w:val="0"/>
              </w:rPr>
              <w:t xml:space="preserve"> punktā noteiktajam, proti, norādi, kuri Ministru kabineta noteikumi tiek atzīti par spēku zaudējušiem, raksta kā noslēdzošo punktu šajā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Iekārtas, kura savu darbību uzsākusi pirms 2025. gada 31. decembra un kurai atbilstoši likuma 2. pielikuma I. sadaļā noteiktajam nepieciešama atļauja sākot ar 2026. gada 1. janvāri, operators attiecināmos dokumentus sākotnējai izvērtēšanai saskaņā ar šo noteikumu </w:t>
            </w:r>
            <w:r w:rsidR="00000000" w:rsidRPr="00000000" w:rsidDel="00000000">
              <w:rPr>
                <w:rtl w:val="0"/>
              </w:rPr>
              <w:t xml:space="preserve">4.1. </w:t>
            </w:r>
            <w:r w:rsidR="00000000" w:rsidRPr="00000000" w:rsidDel="00000000">
              <w:rPr>
                <w:rtl w:val="0"/>
              </w:rPr>
              <w:t xml:space="preserve">apakšpunktu</w:t>
            </w:r>
            <w:r w:rsidR="00000000" w:rsidRPr="00000000" w:rsidDel="00000000">
              <w:rPr>
                <w:rtl w:val="0"/>
              </w:rPr>
              <w:t xml:space="preserve">  dienestā var iesniegt līdz 2026. gada 1.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115. punktā iekļauto pārejas perioda termiņu, jo prognozējams, ka projekts pēc saskaņošanas procesa un pieņemšanas Ministru kabineta sēdē varētu stāties spēkā 2026.gada jūnijā, līdz ar to noteikt datumu prognozējami pirms normatīvā akta spēkā stāšanās, kas būtu saistošs kādam, nav korekti. Vienlaikus vēršam uzmanību, ka projekta anotācijā pārejas perioda termiņš ir norādīts 2026. gada 30. jūnijs, bet projektā - 2026. gada 1. jūnijs.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Iesniegumā siltumnīcefekta gāzu emisijas atļaujas saņemšanai norādāmā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attiecīgās direktīvas 5. panta otrajā daļā norādīts, ka "Pieteikumā ir jāiekļauj arī netehnisks pirmajā daļā minēto ziņu apkopojums", tādēļ lūdzam attiecīgi papildināt noteikumu projekta 1.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Siltumnīcefekta gāzu emisijas atļaujā iekļaujamā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tehniski precizēt noteikumu projekta 2. pielikumu (sk., piem., "Iekārtas darbības apraksts un to radīto emisiju īss apraksts</w:t>
            </w:r>
            <w:r w:rsidR="00000000" w:rsidRPr="00000000" w:rsidDel="00000000">
              <w:rPr>
                <w:u w:val="single"/>
                <w:rtl w:val="0"/>
              </w:rPr>
              <w:t xml:space="preserve">. un to radīto emisiju īss apraksts.</w:t>
            </w:r>
            <w:r w:rsidR="00000000" w:rsidRPr="00000000" w:rsidDel="00000000">
              <w:rPr>
                <w:rtl w:val="0"/>
              </w:rPr>
              <w:t xml:space="preserve">", "Informācija, kura </w:t>
            </w:r>
            <w:r w:rsidR="00000000" w:rsidRPr="00000000" w:rsidDel="00000000">
              <w:rPr>
                <w:u w:val="single"/>
                <w:rtl w:val="0"/>
              </w:rPr>
              <w:t xml:space="preserve">tika klasificējama</w:t>
            </w:r>
            <w:r w:rsidR="00000000" w:rsidRPr="00000000" w:rsidDel="00000000">
              <w:rPr>
                <w:rtl w:val="0"/>
              </w:rPr>
              <w:t xml:space="preserve"> kā ierobežotas pieejamības informācija"). Tai skaitā vēršam uzmanību, ka šobrīd no minētā pielikuma neizriet, kas ir iekļauts atļaujas 2. pielikumā - paraugu ņemšanas plāns vai sabiedrības, pašvaldību, citu iestāžu priekšlikumi par atļaujas izsniegšanu un tās nosacījumiem, protokoli par tikšanos ar operatoru un iestāžu pārstāvjiem, atzinums par iekārtas atbilstību iesniegumā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anotācijas 4. sadaļā iekļauto informāciju, jo atbilstoši Valsts kancelejas izstrādātajām vadlīnijām tiesību akta projekta sākotnējās ietekmes novērtēšanai un novērtējuma ziņojuma sagatavošanai vienotajā tiesību aktu izstrādes un saskaņošanas portālā  norādītajam, ja spēkā esošā tiesību akta atzīšana par spēku zaudējušu ir paredzēta izstrādātajā tiesību akta projektā, to norāda nevis šajā apakšsadaļā [4.1.], bet anotācijas 1.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svītrot norādi "Rīcības brīvība netiek izmantota, paredzot stingrākas vai mazāk stingras prasības", jo minētā norāde ir deklaratīva un neskaidra. Tā vietā lūdzam skaidrot (ja attiecināms), kāda konkrēta rīcības brīvība ir paredzēta, kas ietverta konkrētā Eiropas Savienības tiesību aktā, vai tā tiek izmantota un kādēļ tā tiek vai netiek izmantota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attiecīgās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 pants nav pārņemts noteikumu projekta 2. pielikuma, bet gan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6.panta 1.punkta 1.rindkopa pirmšķietami pārņemta arī noteikumu projekta 28.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w:t>
    </w:r>
    <w:r>
      <w:br/>
    </w:r>
    <w:r w:rsidR="00000000" w:rsidRPr="00000000" w:rsidDel="00000000">
      <w:rPr>
        <w:rtl w:val="0"/>
      </w:rPr>
      <w:t xml:space="preserve">Izdrukāts 18.05.2026. 09.09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w:t>
    </w:r>
    <w:r>
      <w:br/>
    </w:r>
    <w:r w:rsidR="00000000" w:rsidRPr="00000000" w:rsidDel="00000000">
      <w:rPr>
        <w:rtl w:val="0"/>
      </w:rPr>
      <w:t xml:space="preserve">Izdrukāts 18.05.2026. 09.09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Atzinumi_24-TA-27.docx</dc:title>
</cp:coreProperties>
</file>

<file path=docProps/custom.xml><?xml version="1.0" encoding="utf-8"?>
<Properties xmlns="http://schemas.openxmlformats.org/officeDocument/2006/custom-properties" xmlns:vt="http://schemas.openxmlformats.org/officeDocument/2006/docPropsVTypes"/>
</file>