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Tehniskajam līdzeklim - vidējā braukšanas ātruma kontroles sistēmai piemērojamas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1. kontroles vietas viduslīnija ir apzīmēta ar vizuāliem marķieriem uz ceļa brauktuves vai ceļa brauktuves malā;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2. brīdī,  kad mērķa transportlīdzeklis šķērso kontroles vietu, notiek mērķa transportlīdzekļa fotoattēla vai fotoattēlu secīga kopuma ģenerēšana un šķērsošanas brīža laika reģistrācija, kas ir aizsargāta ar laika zīmogu, kā arī reģistrācijas numurzīmes atpazīšana;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3. jānodrošina iekārtas laika sinhronizāciju ar vismaz 2 (diviem) neatkarīgiem precīza laika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4. lielākā  absolūtā  novirze  no  attāluma  starp  reģistrēšanas iekārtām  kontroles  vietās,  ko  kontroles  laikā  ņem  vērā vidējā braukšanas ātruma kontroles sistēma, nedrīkst pārsniegt 0,5 % no noteiktā ceļa posma garuma;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5. mērķa transportlīdzekļa vidējā braukšanas ātruma  noteikšanu diapazonā no vismaz 20 km/h  līdz ne mazāk kā 200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temperatūras diapazons no vismaz -25 °C līdz ne mazāk kā +50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6. ir  iespējams veikt kalibrēšanu;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 maksimāli pieļaujamā kļūda (precizitāte) faktiskajos ekspluatācijas apstākļos, nepārsniedz šādas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7.1.  ±3 km/h,  ja mērķa transportlīdzekļa vidējais  braukšanas  ātrums  nepārsniedz 100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7.2. .±3 % no mērķa transportlīdzekļa vidējā braukšanas ātruma, ja mērķa transportlīdzekļa vidējais braukšanas ātrums pārsniedz 100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8. Noteikto vidējo braukšanas ātrumu uzrāda kilometros stundā ar iedaļas vērtību viens kilometrs stundā. Noteiktā vērtība tiek noapaļota uz leju līdz tuvākajam veselajam skaitlim. Kilometrus stundā norāda blakus skaitliskajai vērtībai.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papildināts ar 5.</w:t>
            </w:r>
            <w:r w:rsidR="00000000" w:rsidRPr="00000000" w:rsidDel="00000000">
              <w:rPr>
                <w:vertAlign w:val="superscript"/>
                <w:rtl w:val="0"/>
              </w:rPr>
              <w:t xml:space="preserve">1</w:t>
            </w:r>
            <w:r w:rsidR="00000000" w:rsidRPr="00000000" w:rsidDel="00000000">
              <w:rPr>
                <w:rtl w:val="0"/>
              </w:rPr>
              <w:t xml:space="preserve"> 6.punktu, kas nosaka, ka vidējā braukšanas ātruma kontroles sistēmai ir iespējams veikt kalibrēšanu. No šīs normas nav saprotams, vai kalibrēšanas periodiskumu nosaka lietotājs vai paredzēts noteikt kalibrēšanas periodiskumu normatīvajā regulējumā.Tādēļ lūdzam precizēt projekta 5.</w:t>
            </w:r>
            <w:r w:rsidR="00000000" w:rsidRPr="00000000" w:rsidDel="00000000">
              <w:rPr>
                <w:vertAlign w:val="superscript"/>
                <w:rtl w:val="0"/>
              </w:rPr>
              <w:t xml:space="preserve">1 </w:t>
            </w:r>
            <w:r w:rsidR="00000000" w:rsidRPr="00000000" w:rsidDel="00000000">
              <w:rPr>
                <w:rtl w:val="0"/>
              </w:rPr>
              <w:t xml:space="preserve">6.punktu un attiecīgi papildināt anotāciju ar plašāku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Matēviča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saistīti ar 2025.gada 18.februāra grozījumiem MK 2024. gada 14. maija noteikumos Nr. 289 "Noteikumi par valsts metroloģiskajai kontrolei pakļauto mērīšanas līdzekļu sarakstu" (24-TA-1416), kas noteica atteikšanos no vidējā ātruma kontroles sistēmu pirmreizējās un atkārtotās verificēšanas, tādējādi mazinot administratīvo slogu lietotājiem, aicinām anotācijas 2.sadaļu papildināt ar atsauci uz minēto normatīvo aktu, kurā ir aprēķināts administratīvā sloga samazinājums (https://tapportals.mk.gov.lv/annotation/c0f3dce3-79cb-475e-be0e-1929f57cb7b7).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Matēviča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4.1.3. apakšsadaļu ar informāciju līdz kuram laikam Satiksmes ministrija plāno veikt grozījumus Ministru kabineta 2008. gada 25. augusta noteikumos Nr. 693 “Noteikumi par mērīšanas līdzekļu kalibrēšanu”.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Matēviča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23.09.2025. 10.52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23.09.2025. 10.52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Atzinumi_25-TA-2052.docx</dc:title>
</cp:coreProperties>
</file>

<file path=docProps/custom.xml><?xml version="1.0" encoding="utf-8"?>
<Properties xmlns="http://schemas.openxmlformats.org/officeDocument/2006/custom-properties" xmlns:vt="http://schemas.openxmlformats.org/officeDocument/2006/docPropsVTypes"/>
</file>