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aprēķina un sadala valsts budžeta mērķdotāciju pedagogu darba samaksai pašvaldību vispārējās izglītības iestādēs un valsts augstskolu vispārējās vidējās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6.1.7. papildu finansējumu (piemēram, piemaksām pedagogiem individuālās pieejas nodrošināšanai, pedagogu profesionālās darbības kvalitātes piemaksām u.c.) līdz divu procentu apmērā no mērķdotācijas apmēra, kas aprēķināts atbilstoši šo noteikumu 6.1.1. , 6.1.2. , 6.1.3. un 6.1.4. apakšpunktiem (izņemot tālmācības izglītības programmas) un valsts sociālās apdrošināšanas obligātajām iemaksām;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iebildumu par minimālo % skaita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rada bažas, ka piemaksu pedagogu profesionālās darbības kvalitātes nodrošināšanai skolas nevarēs noteikt, jo nav nekādu garantiju finansējuma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apakšpunktu 6.1.7.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papildu finansējumu (piemēram, piemaksām pedagogiem individuālās pieejas nodrošināšanai, pedagogu profesionālās darbības kvalitātes piemaksām u.c.) viena līdz divu procentu apmērā no mērķdotācijas apmēra, kas aprēķināts atbilstoši šo noteikumu 6.1.1. , 6.1.2. , 6.1.3. un 6.1.4. apakšpunktiem (izņemot tālmācības izglītības programmas) un valsts sociālās apdrošināšanas obligātajām iemaksām;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(Marta Hanka (LLPA) vietā)</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Ministrija, aprēķinot atbalsta personāla slodžu skaitu atbilstoši šo noteikumu 6.1.2.1. apakšpunktam, 2026./2027. un 2027./2028. mācību gadā piemēro koeficientu 0,7.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Publiskajā telpā no IZM puses ir izskanējis apsolījums, ka ar 2027./2028. mācību gadu jaunais pedagogu atalgojuma modelis tiks ieviests pilnā apmērā. Aicinām pildīt solījumus. Piedāvātā redakcija, attiecinot to arī uz 2027./2028. mācību gadu, būtiski ietekmē pilnvērtīgu jaunā modeļa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20.punktu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Ministrija, aprēķinot atbalsta personāla slodžu skaitu atbilstoši šo noteikumu 6.1.2.1. apakšpunktam, 2026./2027. mācību gadā piemēro koeficientu 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(Marta Hanka (LLPA) vietā)</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6.1.7. apakšpunktu 2026./2027.mācību gadā, nosakot vienotu papildu finansējuma īpatsvara apmēru, piemēro tikai tām izglītības iestādēm, kurām kopējais  aprēķinātais finansējums bez 6.1.7. apakšpunktā noteiktā ir mazāks par finansējumu, kas būtu aprēķināms atbilstoši līdz 2026. gada 31. augustam spēkā esošam normatīvajam regulējumam, piemērojot to izglītības iestādes līmenī. Gadījumā, ja piešķirtā finansējuma ietvaros pēc minētā aprēķina ir pieejama mērķdotācijas līdzekļu ekonomija, visām pārējām izglītības iestādēm piemēro šo noteikumu 6.1.7. apakšpunktu, arī nosakot vienotu papildu finansējuma īpatsvara apmēru.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21.punkta redakciju un finansējuma pārdali citiem mērķiem nekā tie bija noteikti 6.1.7.apakšpunktā. </w:t>
            </w:r>
            <w:r w:rsidR="00000000" w:rsidRPr="00000000" w:rsidDel="00000000">
              <w:rPr>
                <w:b w:val="1"/>
                <w:rtl w:val="0"/>
              </w:rPr>
              <w:t xml:space="preserve">Rīgas valstspilsētas pašvaldībai finanšu samazinājums tad būs būtisk</w:t>
            </w:r>
            <w:r w:rsidR="00000000" w:rsidRPr="00000000" w:rsidDel="00000000">
              <w:rPr>
                <w:rtl w:val="0"/>
              </w:rPr>
              <w:t xml:space="preserve">s (vairāku miljonu eiro mācību gada ietvaros). Neatbalstām finansējuma pārdali uz citām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Šādai finansējuma izlīdzināšanai  jānodrošina cits finansējuma avots.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(Marta Hanka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24-TA-164</w:t>
    </w:r>
    <w:r>
      <w:br/>
    </w:r>
    <w:r w:rsidR="00000000" w:rsidRPr="00000000" w:rsidDel="00000000">
      <w:rPr>
        <w:rtl w:val="0"/>
      </w:rPr>
      <w:t xml:space="preserve">Izdrukāts 02.04.2026. 15.52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24-TA-164</w:t>
    </w:r>
    <w:r>
      <w:br/>
    </w:r>
    <w:r w:rsidR="00000000" w:rsidRPr="00000000" w:rsidDel="00000000">
      <w:rPr>
        <w:rtl w:val="0"/>
      </w:rPr>
      <w:t xml:space="preserve">Izdrukāts 02.04.2026. 15.52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Atzinumi_24-TA-164.docx</dc:title>
</cp:coreProperties>
</file>

<file path=docProps/custom.xml><?xml version="1.0" encoding="utf-8"?>
<Properties xmlns="http://schemas.openxmlformats.org/officeDocument/2006/custom-properties" xmlns:vt="http://schemas.openxmlformats.org/officeDocument/2006/docPropsVTypes"/>
</file>