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24-TA-2748: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pašvaldību finanšu izlīdzināšanas fonda ieņēmumiem un to sadales kārtību 2025. 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 Vērtēto ieņēmumu prognozē iekļauj budžeta dotāciju, kuru sadalījumā pa pašvaldībām aprēķina pēc iedzīvotāju ienākuma nodokļa sadales principiem. Budžeta dotāciju 52 800 762</w:t>
            </w:r>
            <w:r w:rsidR="00000000" w:rsidRPr="00000000" w:rsidDel="00000000">
              <w:rPr>
                <w:i w:val="1"/>
                <w:rtl w:val="0"/>
              </w:rPr>
              <w:t xml:space="preserve"> euro</w:t>
            </w:r>
            <w:r w:rsidR="00000000" w:rsidRPr="00000000" w:rsidDel="00000000">
              <w:rPr>
                <w:rtl w:val="0"/>
              </w:rPr>
              <w:t xml:space="preserve"> apmērā pašvaldībām piešķir saskaņā ar šo noteikumu </w:t>
            </w:r>
            <w:r w:rsidR="00000000" w:rsidRPr="00000000" w:rsidDel="00000000">
              <w:rPr>
                <w:rtl w:val="0"/>
              </w:rPr>
              <w:t xml:space="preserve">4. </w:t>
            </w:r>
            <w:r w:rsidR="00000000" w:rsidRPr="00000000" w:rsidDel="00000000">
              <w:rPr>
                <w:rtl w:val="0"/>
              </w:rPr>
              <w:t xml:space="preserve">pielikumu</w:t>
            </w:r>
            <w:r w:rsidR="00000000" w:rsidRPr="00000000" w:rsidDel="00000000">
              <w:rPr>
                <w:rtl w:val="0"/>
              </w:rPr>
              <w:t xml:space="preserve">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Par: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Noteikumu 5.punktā ir teikts, ka</w:t>
            </w:r>
            <w:r w:rsidR="00000000" w:rsidRPr="00000000" w:rsidDel="00000000">
              <w:rPr>
                <w:i w:val="1"/>
                <w:rtl w:val="0"/>
              </w:rPr>
              <w:t xml:space="preserve">“Vērtēto ieņēmumu prognozē iekļauj budžeta dotāciju, kuru sadalījumā pa pašvaldībām aprēķina pēc iedzīvotāju ienākuma nodokļa sadales principiem. ... ”</w:t>
            </w:r>
            <w:r w:rsidR="00000000" w:rsidRPr="00000000" w:rsidDel="00000000">
              <w:rPr>
                <w:i w:val="1"/>
                <w:rtl w:val="0"/>
              </w:rPr>
              <w:t xml:space="preserve">3. pielikumā “Pašvaldību vērtēto ieņēmumu (iedzīvotāju ienākuma nodokļa un nekustamā īpašuma nodokļa) prognoze” vērtēto ieņēmumu aprēķinā nav iekļauta budžeta dotācija.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Priekšlikums: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Iekļaut budžeta dotāciju 3. pielikumā “Pašvaldību vērtēto ieņēmumu (iedzīvotāju ienākuma nodokļa un nekustamā īpašuma nodokļa) prognoze” vērtēto ieņēmumu aprēķinā.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Cunskis (LLPA)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24-TA-2748</w:t>
    </w:r>
    <w:r>
      <w:br/>
    </w:r>
    <w:r w:rsidR="00000000" w:rsidRPr="00000000" w:rsidDel="00000000">
      <w:rPr>
        <w:rtl w:val="0"/>
      </w:rPr>
      <w:t xml:space="preserve">Izdrukāts 09.12.2024. 14.36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24-TA-2748</w:t>
    </w:r>
    <w:r>
      <w:br/>
    </w:r>
    <w:r w:rsidR="00000000" w:rsidRPr="00000000" w:rsidDel="00000000">
      <w:rPr>
        <w:rtl w:val="0"/>
      </w:rPr>
      <w:t xml:space="preserve">Izdrukāts 09.12.2024. 14.36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