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finansējuma saņēmējam komercdarbības atbalsts tiek sniegts saskaņā ar </w:t>
            </w:r>
            <w:r w:rsidR="00000000" w:rsidRPr="00000000" w:rsidDel="00000000">
              <w:rPr>
                <w:rtl w:val="0"/>
              </w:rPr>
              <w:t xml:space="preserve">Regulu Nr. 651/2014</w:t>
            </w:r>
            <w:r w:rsidR="00000000" w:rsidRPr="00000000" w:rsidDel="00000000">
              <w:rPr>
                <w:rtl w:val="0"/>
              </w:rPr>
              <w:t xml:space="preserve">, ir jāievēro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projekta normās vairākkārt tiek pārrakstītas un interpretētas Eiropas Savienības regulu normas. Piemēram, noteikumu projekta 44.3., 44.5. - 44.7. un 45.1.-45.7.apakšpunktā atreferēts Regulas Nr. 651/2014 normu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Līguma par Eiropas Savienības darbību 288.panta otro daļu regulas ir vispārpiemērojamas, uzliek saistības kopumā un ir tieši piemērojamas visās dalībvalstīs. Regulas ir aizliegts pārņemt nacionālajos tiesību aktos un tās automātiski kļūst par nacionālās tiesību sistēmas sastāvdaļu. Atsevišķos gadījumos var būt nepieciešami regulas ieviešanas mehānismi, lai nodrošinātu regulas normu korektu piemērošanu nacionālajā tiesību sistēmā, tomēr arī šādā gadījumā jāizvairās no regulu satura pārrakstīšanas.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pēc būtības nav skaidrs, kāpēc noteikumu projektā nepieciešams iekļaut tāda vaida regulas saturu atreferējošas normas, kā noteikumu projekta 44. un 45.punktā (piemēram, "[..]</w:t>
            </w:r>
            <w:r w:rsidR="00000000" w:rsidRPr="00000000" w:rsidDel="00000000">
              <w:rPr>
                <w:i w:val="1"/>
                <w:rtl w:val="0"/>
              </w:rPr>
              <w:t xml:space="preserve">Regulas Nr. 651/2014 36a. panta 4. un 5. punktu, </w:t>
            </w:r>
            <w:r w:rsidR="00000000" w:rsidRPr="00000000" w:rsidDel="00000000">
              <w:rPr>
                <w:i w:val="1"/>
                <w:u w:val="single"/>
                <w:rtl w:val="0"/>
              </w:rPr>
              <w:t xml:space="preserve">kur noteikts ka</w:t>
            </w:r>
            <w:r w:rsidR="00000000" w:rsidRPr="00000000" w:rsidDel="00000000">
              <w:rPr>
                <w:i w:val="1"/>
                <w:rtl w:val="0"/>
              </w:rPr>
              <w:t xml:space="preserve"> atbalsts tiek piešķirts atklātā, pārredzamā, nediskriminējošā un konkurenci nodrošinošā konkursa procedūrā</w:t>
            </w:r>
            <w:r w:rsidR="00000000" w:rsidRPr="00000000" w:rsidDel="00000000">
              <w:rPr>
                <w:rtl w:val="0"/>
              </w:rPr>
              <w:t xml:space="preserve">"). Šāda veida skaidrojumu un informācija par regulas piemērošanu nepieciešamības gadījumā iekļaujami noteikumu projekta anotācijā, vai vadlīnijās vai citos metodiskajos materiālos par investīcijas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44. un 45.punktu, un, ja nepieciešams,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Atbalstu, kas šo noteikumu ietvaros piešķirts saskaņā ar </w:t>
            </w:r>
            <w:r w:rsidR="00000000" w:rsidRPr="00000000" w:rsidDel="00000000">
              <w:rPr>
                <w:rtl w:val="0"/>
              </w:rPr>
              <w:t xml:space="preserve">Regulas Nr. 651/2014</w:t>
            </w:r>
            <w:r w:rsidR="00000000" w:rsidRPr="00000000" w:rsidDel="00000000">
              <w:rPr>
                <w:rtl w:val="0"/>
              </w:rPr>
              <w:t xml:space="preserve"> nosacījumiem, piešķir līdz </w:t>
            </w:r>
            <w:r w:rsidR="00000000" w:rsidRPr="00000000" w:rsidDel="00000000">
              <w:rPr>
                <w:rtl w:val="0"/>
              </w:rPr>
              <w:t xml:space="preserve">2020. gada 2. jūlija Komisijas Regulas (ES) 2020/972 ar ko groza Regulu (ES) Nr. 1407/2013 attiecībā uz tās pagarināšanu un groza Regulu (ES) Nr. 651/2014 attiecībā uz tās pagarināšanu un attiecīgiem pielāgojumiem</w:t>
            </w:r>
            <w:r w:rsidR="00000000" w:rsidRPr="00000000" w:rsidDel="00000000">
              <w:rPr>
                <w:rtl w:val="0"/>
              </w:rPr>
              <w:t xml:space="preserve"> 11. panta 5. punktā minētajam spēkā esamības termiņam, ņemot vērā  </w:t>
            </w:r>
            <w:r w:rsidR="00000000" w:rsidRPr="00000000" w:rsidDel="00000000">
              <w:rPr>
                <w:rtl w:val="0"/>
              </w:rPr>
              <w:t xml:space="preserve">Regulas Nr. 651/2014</w:t>
            </w:r>
            <w:r w:rsidR="00000000" w:rsidRPr="00000000" w:rsidDel="00000000">
              <w:rPr>
                <w:rtl w:val="0"/>
              </w:rPr>
              <w:t xml:space="preserve"> 58. panta 4. punktā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papildināts ar 66.punktu.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minēto normu. Norādām, pirmkārt, ka atsauce uz 2020. gada 2. jūlija Komisijas Regulas (ES) 2020/972 11.pantu nav korekta, jo minētajā regulā šāda panta nav. Regulas (ES) 2020/972 </w:t>
            </w:r>
            <w:r w:rsidR="00000000" w:rsidRPr="00000000" w:rsidDel="00000000">
              <w:rPr>
                <w:u w:val="single"/>
                <w:rtl w:val="0"/>
              </w:rPr>
              <w:t xml:space="preserve">2.pants </w:t>
            </w:r>
            <w:r w:rsidR="00000000" w:rsidRPr="00000000" w:rsidDel="00000000">
              <w:rPr>
                <w:rtl w:val="0"/>
              </w:rPr>
              <w:t xml:space="preserve">groza </w:t>
            </w:r>
            <w:r w:rsidR="00000000" w:rsidRPr="00000000" w:rsidDel="00000000">
              <w:rPr>
                <w:u w:val="single"/>
                <w:rtl w:val="0"/>
              </w:rPr>
              <w:t xml:space="preserve">Regulas (ES) Nr. 651/2014 11.pantu</w:t>
            </w:r>
            <w:r w:rsidR="00000000" w:rsidRPr="00000000" w:rsidDel="00000000">
              <w:rPr>
                <w:rtl w:val="0"/>
              </w:rPr>
              <w:t xml:space="preserve">, līdz ar to nepieciešamības gadījumā atsauce veidojama uz Regulas (ES) Nr. 651/2014 11.panta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Eiropas Savienības regulu normas ir vispārpiemērojamas un tieši piemērojams, līdz ar to Regulas (ES) Nr. 651/2014 11.panta nosacījumi par atbalsta piešķiršanas termiņiem ir saistoši neatkarīgi no tā, vai šāda atsauce ir vai nav iekļauta nacionālajā normatīvajā aktā. Ievērojot minēto, lūdzam apsvērt noteikumu projekta 66.punkta nepieciešamību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66.punkts precizējams arī redakcionāli, jo šobrīd tas paredz, ka "atbalstu, kas šo noteikumu ietvaros </w:t>
            </w:r>
            <w:r w:rsidR="00000000" w:rsidRPr="00000000" w:rsidDel="00000000">
              <w:rPr>
                <w:u w:val="single"/>
                <w:rtl w:val="0"/>
              </w:rPr>
              <w:t xml:space="preserve">piešķirts </w:t>
            </w:r>
            <w:r w:rsidR="00000000" w:rsidRPr="00000000" w:rsidDel="00000000">
              <w:rPr>
                <w:rtl w:val="0"/>
              </w:rPr>
              <w:t xml:space="preserve">saskaņā ar Regulas Nr. 651/2014 nosacījumiem, </w:t>
            </w:r>
            <w:r w:rsidR="00000000" w:rsidRPr="00000000" w:rsidDel="00000000">
              <w:rPr>
                <w:u w:val="single"/>
                <w:rtl w:val="0"/>
              </w:rPr>
              <w:t xml:space="preserve">piešķir </w:t>
            </w:r>
            <w:r w:rsidR="00000000" w:rsidRPr="00000000" w:rsidDel="00000000">
              <w:rPr>
                <w:rtl w:val="0"/>
              </w:rPr>
              <w:t xml:space="preserve">līdz [..] termiņam", t.i., norma pašreizējā redakcijā regulē </w:t>
            </w:r>
            <w:r w:rsidR="00000000" w:rsidRPr="00000000" w:rsidDel="00000000">
              <w:rPr>
                <w:u w:val="single"/>
                <w:rtl w:val="0"/>
              </w:rPr>
              <w:t xml:space="preserve">jau piešķirta</w:t>
            </w:r>
            <w:r w:rsidR="00000000" w:rsidRPr="00000000" w:rsidDel="00000000">
              <w:rPr>
                <w:rtl w:val="0"/>
              </w:rPr>
              <w:t xml:space="preserve"> atbalsta piešķiršanas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iesniegums atbilst šajos noteikumos noteiktajiem nosacījumiem un uz finansējuma saņēmēju nav attiecināms neviens no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minētajiem izslēgšanas kritērijiem, Ministrija informē Aģentūru par atļauju slēgt vienošanās vai civiltiesisko līgumu par projekta īstenošanu (turpmāk –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21.punktā vārdus "vienošanās vai civiltiesisko līgumu par projekta īstenošanu (turpmāk – līgums)" aizstāt ar vārdiem "vienošanos vai līgumu", ievērojot noteikumu projekta 1.9.apakšpunktā pieteikto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28.07.2023.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28.07.2023.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