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24-TA-2697: Instrukcijas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septembra instrukcijā Nr. 3 "Ārvalstu finanšu instrumentu finansētu civiltiesisku līgumu izstrādes un slēgšanas instrukcija valsts tiešās pārvaldes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"Valsts nekustamie īpašumi" vērš uzmanību, ka izsrādātajā Instrukcijas projektā nav iestrādāti  visi nepieciešamie grozījumi, kas izriet no Ministru kabienta noteikumu projekta  "Grozījumi Ministru kabineta 2022. gada 5. jūlija noteikumos Nr. 419 "Noteikumi par publisko būvdarbu līgumos obligāti ietveramajiem noteikumiem un to saturu" (23-TA-2350; turpmāk – Noteikumu projekts), kuri izskatīti Valsts sekretāru 2024.gada 3.oktobra sanāksmē (protokols Nr. 32, 1. §. ) un kuri pēc 5.1. apakšpunktā dotā uzdevuma izpildes tiks iesniegti izskatīšanai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Ministru kabineta 2016. gada 20. septembra instrukcijas Nr. 3  125. punkts “Līgumā neparedz piegādātāja garantijas saistību aprobežojumus noteiktas summas apmērā. Par šādu aprobežojumu neuzskata līguma noteikumu, saskaņā ar kuru piegādātāja garantijas saistības nepārsniedz līgumcenu.” ir pretrunā Noteikumu projekta 12. punktam, kurš paredz Noteikumu 28.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Garantijas saistību nodrošinājums, ja tāds ir paredzēts, ir nosakāms līdz 5 % no līgumcenas par normatīvajos aktos būvniecības jomā noteikto minimālo garantijas termiņu. Garantijas saistību nodrošinājumu samazina minimālā garantijas termiņa trešā gada pirmajā mēnesī uz atlikušo tā daļu, nosakot to līdz 2 % no līgumcenas, ja garantijas termiņa pirmajos divos gados nav konstatēti būvdarbu defekti vai būvdarbu veicējs un pasūtītājs ir vienojušies par pieteikto būvdarbu defektu novēršanas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lūdzam veikt precizējumus un/vai papildinājumus Instrukcijas projektā, ņemot vērā Noteikumu projektā paredzētās izmaiņas Ministru kabineta 2022. gada 5. jūlija noteikumos Nr. 419 "Noteikumi par publisko būvdarbu līgumos obligāti ietveramajiem noteikumiem un to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septembra instrukcijā Nr. 3 "Ārvalstu finanšu instrumentu finansētu civiltiesisku līgumu izstrādes un slēgšanas instrukcija valsts tiešās pārvaldes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CFLA kā attīstības sadarbības aģentūras pieredzi, ka reizēm ārvalsts finanšu instrumentu līgumos par finansējuma piešķiršanu var būt paredzēti atšķirīgi nosacījumi no instrukcijā noteiktajiem, aicinām papildināt instrukciju ar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ārvalstu finanšu instrumenta nosacījumi paredz atšķirīgus nosacījumus no instrukcijā noteiktajiem, pasūtītājs ir tiesīgs piemērot ārvalstu finanšu instrumenta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Rode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54.punktu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Līgumos, izņemot publiskos būvdarbu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54. punkta (1.teikuma) redakcija ir neskaidra un nav viennozīmīgi saprotams, uz kāda veida līgumiem (piegādes, pakalpojuma vai būvdarbu) tā tiek attiecināta. Piedāvājam to precizēt, izsakot šādi: "Publiskos piegādes un pakalpojuma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Publiskos piegādes un pakalpojuma līgumos, kuru darbības laiks ir divi gadi un vairāk, pasūtītājs var iekļaut līgumcenas indeksācijas noteikumus. Publiskos būvdarbu līgumos indeksācijas noteikumus ietver atbilstoši normatīvo aktu prasībām par publiskos būvdarbu līgumos obligāti ietveramajiem noteikumiem un to saturu, kā arī ievērojot šīs instrukcijas 55., 56. un 58.punktu.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Kaņeps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sekretāru 2024.gada 3.oktobra sanāksmē (protokols Nr. 32, 1. §., 2. punkts) dotajam uzdevumam - Ekonomikas ministrijai sadarbībā ar Finanšu ministriju, nepieciešamības gadījumā iesaistot arī citas ministrijas, un būvniecības nozari izvērtēt Ministru kabineta 2016. gada 20. septembra instrukcijā Nr.3 "Ārvalstu finanšu instrumentu finansētu civiltiesisku līgumu izstrādes un slēgšanas instrukcija valsts tiešās pārvaldes iestādēs" (turpmāk – Instrukcija) ietvertā regulējuma aktualitāti un savstarpēju atbilstību citiem normatīvajiem aktiem, un, ja nepieciešams, attiecīgi precizēt Instrukciju vai atzīt to par aktualitāti zaudējušu.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par Instrukcijā ietvertā regulējuma aktualitāti un nepieciešamību to precizēt, nevis atzīt to par aktualitāti zaudējuši.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07.11.2024.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07.11.2024.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Atzinumi_24-TA-2697.docx</dc:title>
</cp:coreProperties>
</file>

<file path=docProps/custom.xml><?xml version="1.0" encoding="utf-8"?>
<Properties xmlns="http://schemas.openxmlformats.org/officeDocument/2006/custom-properties" xmlns:vt="http://schemas.openxmlformats.org/officeDocument/2006/docPropsVTypes"/>
</file>