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26-TA-1540: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14. jūlija noteikumos Nr. 445 "Kārtība, kādā iestādes ievieto informāciju internetā"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20.9.</w:t>
            </w:r>
            <w:r w:rsidR="00000000" w:rsidRPr="00000000" w:rsidDel="00000000">
              <w:rPr>
                <w:vertAlign w:val="superscript"/>
                <w:rtl w:val="0"/>
              </w:rPr>
              <w:t xml:space="preserve">1</w:t>
            </w:r>
            <w:r w:rsidR="00000000" w:rsidRPr="00000000" w:rsidDel="00000000">
              <w:rPr>
                <w:rtl w:val="0"/>
              </w:rPr>
              <w:t xml:space="preserve"> sadaļā "Publiskie iepirkumi" ne vēlāk kā līdz kalendāra gada ceturksnim sekojošā mēneša pēdējam datumam iekļauj informāciju par visiem ceturkšņa izdevumiem attiecībā uz veiktajiem iepirkumiem un noslēgtajiem iepirkuma līgumiem atbilstoši Publisko iepirkumu likumam neatkarīgi no darījuma vai līguma summas, publicējot vismaz šādu informāciju par maksājumiem un līgumiem: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paredzētais pienākums iestādēm un valsts kapitālsabiedrībām manuāli apkopot un publicēt informāciju par katru maksājumu savā tīmekļvietnē ir pretējs valsts deklarētajam mērķim mazināt administratīvo slogu un attīstīt vienotu digitālu informācijas apriti.  Administratīvais slogs, ko radītu pienākums apkopot, pārbaudīt, strukturēt un publicēt informāciju par katru maksājumu iestādes vai kapitālsabiedrības tīmekļvietnē, ir nesamērīgi liels salīdzinājumā ar iespējamo sabiedrisko ieguvumu. Bez tam Projektā paredzētā tiesiskā regulējuma darbība paredzēta īslaicīgi, dati jāsniedz par katru iepriekšējo ceturksni, tādēļ prasība iestādēm un kapitālsabiedrībām pielāgot iekšējos procesus, pārskatīt datu aprites kārtību, nodrošināt datu kvalitātes kontroli un organizēt papildu publicēšanas mehānismu katrā atsevišķā tīmekļvietnē nav racionāla un neatbilst efektīvas pārvaldības principam. Ministrijām, kas izmanto vienoto pakalpojumu centru, Valsts kase atbilstoši Ministru kabineta 2024. gada 22. oktobra noteikumiem Nr. 653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nodrošina institūcijām (pakalpojumu saņēmējiem) grāmatvedības pakalpojumu, tajā skaitā pakalpojuma saņēmēja iesniegto rēķinu apmaksu, bet par konkrēto iepirkumu līgumu vai iepirkumu apstrādi, piemēram, attiecīgo maksājuma dokumentu sasaisti ar konkrēto iepirkumu, atbild attiecīgais pakalpojumu saņēmējs, kam viss grāmatvedības personāls ir pārvietots uz Valsts kases vienoto pakalpojuma centru, bet iepirkuma līgumu, rēķinu un atbilstošu dokumentu sagatavošana ir atstāta pakalpojumu saņēmēja pārziņā un atbildībā, uzliekot papildu pienākumus citiem ministrijas vai iestādes darbiniekiem. Tādēļ minētais jau šobrīd ministrijām rada būtisku administratīvo slogu. Projektā paredzētais informācijas publiskošanas tiesiskais regulējums par noslēgtajiem iepirkumu līgumiem būtu vienkāršojams, publiskojot informāciju reizi pusgadā un  izmantojot vienkāršoti izgūstamus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Sarmīte Zandare (KM)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14.52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26-TA-1540</w:t>
    </w:r>
    <w:r>
      <w:br/>
    </w:r>
    <w:r w:rsidR="00000000" w:rsidRPr="00000000" w:rsidDel="00000000">
      <w:rPr>
        <w:rtl w:val="0"/>
      </w:rPr>
      <w:t xml:space="preserve">Izdrukāts 28.08.2026. 14.52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Atzinumi_26-TA-1540.docx</dc:title>
</cp:coreProperties>
</file>

<file path=docProps/custom.xml><?xml version="1.0" encoding="utf-8"?>
<Properties xmlns="http://schemas.openxmlformats.org/officeDocument/2006/custom-properties" xmlns:vt="http://schemas.openxmlformats.org/officeDocument/2006/docPropsVTypes"/>
</file>