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23-TA-2619: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2.3.1. specifiskā atbalsta mērķa “Veicināt ilgtspējīgu daudzveidu mobilitāti pilsētās” 2.3.1.3. pasākuma  “Veloinfrastruktūras attīstība”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Šo noteikumu </w:t>
            </w:r>
            <w:r w:rsidR="00000000" w:rsidRPr="00000000" w:rsidDel="00000000">
              <w:rPr>
                <w:rtl w:val="0"/>
              </w:rPr>
              <w:t xml:space="preserve">18.1. </w:t>
            </w:r>
            <w:r w:rsidR="00000000" w:rsidRPr="00000000" w:rsidDel="00000000">
              <w:rPr>
                <w:rtl w:val="0"/>
              </w:rPr>
              <w:t xml:space="preserve">apakšpunktā</w:t>
            </w:r>
            <w:r w:rsidR="00000000" w:rsidRPr="00000000" w:rsidDel="00000000">
              <w:rPr>
                <w:rtl w:val="0"/>
              </w:rPr>
              <w:t xml:space="preserve"> minētās tiešās attiecināmās izmaksas ietver šādas izmaksu pozīcijas: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izziņas 3.punktā izteikto iebildumu un atkārtoti aicinām izvērtēt vienkāršoto izmaksu iespējami plašāku piemērošanu. Saskaņā ar Satiksmes ministrijas sniegto skaidrojumu izziņā, investīcijas ietvaros tiks piemērota tikai netiešo izmaksu vienotā likme 7% apmērā, vienlaikus norādot, ka nav nepieciešamība paredzēt citas vienkāršotās izmaksas. Ja  Satiksmes ministrijas vērtējumā plašāka vienkāršoto izmaksu piemērošana investīcijā plānotajām izmaksu pozīcijām nav iespējama, lūdzam sniegt argumentētu pamatojumu anotācijā.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Alise Krisone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Līdz Eiropas Reģionālās attīstības fonda līdzfinansētā Eiropas Savienības kohēzijas politikas programmas 2021.–2027.gadam 2.3.1.specifiskā atbalsta mērķa “Veicināt ilgtspējīgu daudzveidu mobilitāti pilsētās” 2.3.1.3.pasākuma “Veloinfrastruktūras attīstība” (turpmāk – 2.3.1.3.pasākums) projekta iesnieguma apstiprināšanai Centrālajā finanšu un līgumu aģentūrā kā Eiropas Savienības fondu 2021.—2027. gada plānošanas perioda sadarbības iestādē atļaut Satiksmes ministrijai normatīvajos aktos noteiktajā kārtība, pamatojoties uz Ministru kabineta 2018. gada 17. jūlija noteikumu Nr. 421 “Kārtība, kādā veic gadskārtējā valsts budžeta likumā noteiktās apropriācijas izmaiņas” 24.2. apakšpunktu, pieprasīt finansējumu ne vairāk ka 165 000 euro apmērā no budžeta resora „74. Gadskārtējā valsts budžeta izpildes procesā pārdalāmais finansējums” programmas 80.00.00 „Nesadalītais finansējums Eiropas Savienības politiku instrumentu un pārējās ārvalstu finanšu palīdzības līdzfinansēto projektu un pasākumu īstenošanai”, lai nodrošinātu 2.3.1.3.pasākuma īstenošanas uzsākšanu un priekšfinansēšanu 2024.gada pirmajā pusgadā.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protokollēmuma projekta 3.punktā paredzēto, vēršam uzmanību, ka saskaņā ar Ministru kabineta 2018.gada 17.jūlija noteikumu  Nr. 421 “Kārtība, kādā veic gadskārtējā valsts budžeta likumā noteiktās apropriācijas izmaiņas” 24.2. apakšpunktu Ministru kabinets lēmumu par līdzekļu piešķiršanu izņēmuma kārtā pirms Eiropas Savienības fondu projektu iesnieguma apstiprināšanas sadarbības iestādē pieņem, pamatojoties uz iesniegto argumentāciju un risku analīzi, līdz ar to attiecīgi lūdzam anotāciju papildināt ar argumentāciju, kāpēc līdzekļi jāpiešķir pirms projekta iesnieguma apstiprināšanas, kā arī sniegt informāciju par risku analīzi.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Pasākumam plānotais kopējais finansējums ir 26 461 636 EUR (tai skaitā elastības finansējums 4 173 671 EUR), tai skaitā Eiropas Reģionālās attīstības fonda (turpmāk – ERAF) finansējums 22 492 390 EUR (tai skaitā elastības finansējums 3 547 620 EUR) un nacionālais finansējums 3 969 246 EUR (tai skaitā elastības finansējums 626 051 EUR).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anotācijā norādīto informāciju, ka nacionālais finansējums tiek plānots no valsts budžeta finansējuma, atkārtoti lūdzam precizēt noteikumu projekta 4., 5. un 6.punktu, norādot konkrētu nacionālā finansējuma avotu, proti, ka tas būs valsts budžeta 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Puriņa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Projekta iesniedzējs ir Satiksmes ministrija, kuras vārdā atbilstoši likuma "</w:t>
            </w:r>
            <w:r w:rsidR="00000000" w:rsidRPr="00000000" w:rsidDel="00000000">
              <w:rPr>
                <w:rtl w:val="0"/>
              </w:rPr>
              <w:t xml:space="preserve">Par autoceļiem</w:t>
            </w:r>
            <w:r w:rsidR="00000000" w:rsidRPr="00000000" w:rsidDel="00000000">
              <w:rPr>
                <w:rtl w:val="0"/>
              </w:rPr>
              <w:t xml:space="preserve">" 7. panta trešajai daļai un Satiksmes ministrijas deleģēšanas līgumam darbojas valsts sabiedrība ar ierobežotu atbildību "Latvijas Valsts ceļi", kas veiks Satiksmes ministrijas kā Eiropas Savienības fondu projekta iesniedzēja funkcijas.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 izziņas un precizētā anotācijas teksta izrietošo informāciju, ka projekta iesniedzējs</w:t>
            </w:r>
            <w:r w:rsidR="00000000" w:rsidRPr="00000000" w:rsidDel="00000000">
              <w:rPr>
                <w:u w:val="single"/>
                <w:rtl w:val="0"/>
              </w:rPr>
              <w:t xml:space="preserve"> un finansējuma saņēmējs būs valsts sabiedrība ar ierobežotu atbildību "Latvijas Valsts ceļi"</w:t>
            </w:r>
            <w:r w:rsidR="00000000" w:rsidRPr="00000000" w:rsidDel="00000000">
              <w:rPr>
                <w:rtl w:val="0"/>
              </w:rPr>
              <w:t xml:space="preserve">, lūdzam precizēt anotāciju un nepieciešamības gadījumā arī noteikumu projektu, nosakot, ka projekta iesniedzējs (valsts sabiedrība ar ierobežotu atbildību "Latvijas Valsts ceļi") </w:t>
            </w:r>
            <w:r w:rsidR="00000000" w:rsidRPr="00000000" w:rsidDel="00000000">
              <w:rPr>
                <w:u w:val="single"/>
                <w:rtl w:val="0"/>
              </w:rPr>
              <w:t xml:space="preserve">slēdz līgumu par projekta īstenošanu, nevis vienošanos par projekta īstenošanu</w:t>
            </w:r>
            <w:r w:rsidR="00000000" w:rsidRPr="00000000" w:rsidDel="00000000">
              <w:rPr>
                <w:rtl w:val="0"/>
              </w:rPr>
              <w:t xml:space="preserve">. Atkātoti skaidrojam, ka no Eiropas Savienības fondu 2021.—2027. gada plānošanas perioda vadības likuma 18. panta pirmās daļas 1. un 2. punkta izriet, ka gadījumā, ja finansējuma saņēmējs ir fiziskā vai juridiskā persona, tiek slēgts līgums par projekta īstenošanu, savukārt gadījumā, ja finansējuma saņēmējs ir tiešās vai pastarpinātās pārvaldes iestāde, atvasināta publiska persona vai cita valsts iestāde, tiek slēgta vienošanos par projekta īstenošanu.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Šo noteikumu </w:t>
            </w:r>
            <w:r w:rsidR="00000000" w:rsidRPr="00000000" w:rsidDel="00000000">
              <w:rPr>
                <w:rtl w:val="0"/>
              </w:rPr>
              <w:t xml:space="preserve">18.2. </w:t>
            </w:r>
            <w:r w:rsidR="00000000" w:rsidRPr="00000000" w:rsidDel="00000000">
              <w:rPr>
                <w:rtl w:val="0"/>
              </w:rPr>
              <w:t xml:space="preserve">apakšpunktā</w:t>
            </w:r>
            <w:r w:rsidR="00000000" w:rsidRPr="00000000" w:rsidDel="00000000">
              <w:rPr>
                <w:rtl w:val="0"/>
              </w:rPr>
              <w:t xml:space="preserve">  minētās netiešās attiecināmās izmaksas plāno kā vienu izmaksu pozīciju, piemērojot netiešo izmaksu vienoto likmi 7 % apmērā no šo noteikumu </w:t>
            </w:r>
            <w:r w:rsidR="00000000" w:rsidRPr="00000000" w:rsidDel="00000000">
              <w:rPr>
                <w:rtl w:val="0"/>
              </w:rPr>
              <w:t xml:space="preserve">18.1. </w:t>
            </w:r>
            <w:r w:rsidR="00000000" w:rsidRPr="00000000" w:rsidDel="00000000">
              <w:rPr>
                <w:rtl w:val="0"/>
              </w:rPr>
              <w:t xml:space="preserve">apakšpunktā</w:t>
            </w:r>
            <w:r w:rsidR="00000000" w:rsidRPr="00000000" w:rsidDel="00000000">
              <w:rPr>
                <w:rtl w:val="0"/>
              </w:rPr>
              <w:t xml:space="preserve"> </w:t>
            </w:r>
            <w:r w:rsidR="00000000" w:rsidRPr="00000000" w:rsidDel="00000000">
              <w:rPr>
                <w:rtl w:val="0"/>
              </w:rPr>
              <w:t xml:space="preserve">​</w:t>
            </w:r>
            <w:r w:rsidR="00000000" w:rsidRPr="00000000" w:rsidDel="00000000">
              <w:rPr>
                <w:rtl w:val="0"/>
              </w:rPr>
              <w:t xml:space="preserve"> minētajām tiešajām attiecināmajām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punktu papildināt ar papildus teikumu - Netiešās izmaksas ir tādas, kas nav noteiktas kā tiešās, bet ir tieši saistītas ar projekta īstenošanu un nepieciešamas rezultātu sasniegšanai.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Šmite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25.8. nodrošina, ka projekta īstenošanas laikā nekustamie īpašumi, kuri nepieciešami projekta īstenošanai, ir finansējuma saņēmēja īpašumā vai arī būvniecība tiek veikta uz lietošanas, valdījuma vai uz zemesgrāmatā ierakstītas lietu tiesības pamata, saskaņojot būvniecības ieceri ar projekta īstenošanai nepieciešamo nekustamo īpašumu īpašniekiem atbilstoši normatīvo aktu nosacījumiem būvniecības jomā. Finansējuma saņēmēja tiesībām uz konkrēto īpašumu jābūt nostiprinātām Zemesgrāmatā (ja attiecināms);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nepieciešamības gadījumā no noteikumu projekta 25.8. apakšpunkta svītrot vārdus un iekavas "(ja attiecināms)". Atkārtoti vēršam uzmanību, ka finansējuma saņēmēja tiesībām uz konkrēto objektu vai īpašumu jābūt nostiprinātām Zemesgrāmatā. Ja minētajam nosacījumam - tiesību nostiprināšanai Zemesgrāmatā -  saskaņā ar nacionālo regulējumu ir izņēmums, tas attiecīgi aprakstāms noteikumu 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klasiski 7% netiešo izmaksu vienoto likmi piemēro ESF+ tipa projektiem, taču nav aizliegts arī šo likmi izmantot infrastruktūras projektiem. Ņemot vērā, ka netiešo izmaksu summa no šī projekta attiecināmajām izmaksām sastāda ievērojamu summu, aicinām vismaz indikatīvi anotācijā norādīt, kādas izmaksas tiks segtas ar netiešajām izmaksām. Vēršam uzmanību, ka netiešās izmaksas ir jāizmanto tam paredzētajam mērķim atbilstoši drošas finanšu pārvaldības principiem, novēršot vienas izmaksu pozīcijas dubultu finansēšanu.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anotācijas 1.3.sadaļas rindkopā, kas sākas ar vārdiem "(12) Par vienoto likmi"  atsaukties uz Eiropas Parlamenta un Padomes Regulas (ES) 2021/1060 (2021. gada 24. jūnijs),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54. panta a) apakšpunktu, kas nosaka, ka netiešās izmaksas var tikt aprēķinātas kā vienotā likme līdz 7 % no attiecināmajām tiešajām izmaksām, nevis uz vadlīnijām.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Alise Krisone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1. – 5.punktā norādīto informāciju 2024. gadam, pārceļot finansējumu no ailes “saskaņā ar valsts budžetu kārtējam gadam” uz aili “izmaiņas kārtējā gadā, salīdzinot ar valsts budžetu kārtējam gadam”.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23-TA-2619</w:t>
    </w:r>
    <w:r>
      <w:br/>
    </w:r>
    <w:r w:rsidR="00000000" w:rsidRPr="00000000" w:rsidDel="00000000">
      <w:rPr>
        <w:rtl w:val="0"/>
      </w:rPr>
      <w:t xml:space="preserve">Izdrukāts 20.03.2024. 13.47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23-TA-2619</w:t>
    </w:r>
    <w:r>
      <w:br/>
    </w:r>
    <w:r w:rsidR="00000000" w:rsidRPr="00000000" w:rsidDel="00000000">
      <w:rPr>
        <w:rtl w:val="0"/>
      </w:rPr>
      <w:t xml:space="preserve">Izdrukāts 20.03.2024. 13.47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Atzinumi_23-TA-2619.docx</dc:title>
</cp:coreProperties>
</file>

<file path=docProps/custom.xml><?xml version="1.0" encoding="utf-8"?>
<Properties xmlns="http://schemas.openxmlformats.org/officeDocument/2006/custom-properties" xmlns:vt="http://schemas.openxmlformats.org/officeDocument/2006/docPropsVTypes"/>
</file>