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noteikumu projektu tiek paredzēts, ka faktiskos izdevumus un zaudējumus, kas radušies, iesaistot resursus reaģēšanas un seku likvidēšanas pasākumos vai ugunsgrēka dzēšanā vai glābšanas darbos, kompensē pilnā apmērā, tajā skaitā arī atrauto peļņas daļu, par kuru šobrīd spēkā esošajos noteikumos ir noteikts, ka to nekompensē, lūdzam papildināt noteikumu projekta anotācijas 3. sadaļu, punktā “Cita informācija” norādot, ka noteikumu projektā paredzētās normas tiks īstenotas institūcijām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14.12.2023.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14.12.2023.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Atzinumi_23-TA-1877.docx</dc:title>
</cp:coreProperties>
</file>

<file path=docProps/custom.xml><?xml version="1.0" encoding="utf-8"?>
<Properties xmlns="http://schemas.openxmlformats.org/officeDocument/2006/custom-properties" xmlns:vt="http://schemas.openxmlformats.org/officeDocument/2006/docPropsVTypes"/>
</file>