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Nacionālās industriālās politikas pamatnostādņu 2021. – 2027. gadam īstenošanas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"2.5. Finanšu pieejamība" raksturot pētniecības un attīstības finansējuma pieejamību komercsektorā. Lai gan sniegts ļoti optimistisks skatījums, tomēr Latvijā ir vismazākā P&amp;A finansējuma daļa, kas nāk no komercsektora (EUROSTAT 2020.g. - 27%, ziņojums - par 2021.g. - 28,7%), un nav novērojama pieauguma tendence. Ekonomikas transformācijas mērķiem būtu nepieciešams vismaz norādīt, cik liela daļa no investīcijām būs P&amp;A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raksturot RIS3 rezultātus industrijas pusē, ņemot vērā, ka RIS3 jau tiek realizēts no 2014. gada, kā arī kontinuitāti ar agrākajiem ieguldījumiem. Lūdzam raksturot visu viedās specializācijas instrumentu klāstu šajā plānošanas periodā, iekļaujot visas ministrijas, kas saņem finansējumu no ERAF politikas mērķa Nr 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2.3.2 nodaļā raksturot Latvijas uzņēmumu dalības rezultātus pamatprogrammā Apvārsnis Eiropa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2.3.2 sadaļā sniegt informāciju par pamatrādītājiem aktivitātēs: SAM 1.1.1.1. pasākums "Praktiskas ievirzes pētījumi",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13.1.2.1. pasākums "Praktiskas ievirzes pētniecība" un SAM 1.1.1.2. pasākums "Pēcdoktorantūras pētniecības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uz 4.1.2.1 attiecināms tas, ka apstiprināti 3 projekti ANM 2.3.1.1.i aktivitātē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par to, ka 2022. gadā projekti VPP “Inovāciju fonds – nozaru pētījumu programma” ir arī apstiprināti un uzsākta to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Secinājumu 5. punktā būtu vēlams nodalīt stratēģiskas ilgtermiņa pētniecības programmas no īstermiņa prokjektiem, kas sniedz atbildi uz konkrētiem jautājumiem. Tā, piemēram, EATRIS ERIC apaļajā galdā 2022.g. 13. decembrī uzņēmējdarbības sektors skaidri pauda viedokli, ka tas, kas pietrūkst Latvijas industry-academia playground - ātri palaižami taisnvirziena projekti, kas atbild uz konkrētu pētniecisku jautājumu, bieži pēc princpa - jā/nē, darbojas/nedarbojas. Attiecībā uz stratēģiskām programmām, būtu jāveic analīze par to iespējamību nacionālā līmenī, ņemot vērā fiskālās disciplīnas un vidēja termiņa budžeta plānošanas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16.12.2022.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16.12.2022.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Atzinumi_22-TA-2885.docx</dc:title>
</cp:coreProperties>
</file>

<file path=docProps/custom.xml><?xml version="1.0" encoding="utf-8"?>
<Properties xmlns="http://schemas.openxmlformats.org/officeDocument/2006/custom-properties" xmlns:vt="http://schemas.openxmlformats.org/officeDocument/2006/docPropsVTypes"/>
</file>