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fiziskām personām tiek norādīts, ka mērķa grupai tiek noteikti jauni kritēriji attiecībā uz to pienākumu par negadījumu paziņot Valsts policijai, kā arī tiek paplašinātas iespējas saskaņotā paziņojuma veidlapas aizpildīšanai, kas ir informācijas sniegšanas pienākumu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ar likumprojektā iekļautām izmaiņām tiek ietekmēti informācijas sniegšanas pienākumi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veikto aprēķinu, kas iekļauts aprēķina skaidrojuma sadaļā, ietverot tikai tās izmaksas, kas rodas no informācijas sniegšanas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policijai lēmumu pieņemšana neizriet no informācijas sniegšanas pienākuma. Līdz ar to, lēmuma pieņemšanas process nav iekļaujams administratīvā sloga aprēķinā.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08.12.2025.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08.12.2025.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Atzinumi_24-TA-501.docx</dc:title>
</cp:coreProperties>
</file>

<file path=docProps/custom.xml><?xml version="1.0" encoding="utf-8"?>
<Properties xmlns="http://schemas.openxmlformats.org/officeDocument/2006/custom-properties" xmlns:vt="http://schemas.openxmlformats.org/officeDocument/2006/docPropsVTypes"/>
</file>