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programmās informācija par katras jomas, t.sk., izglītības, attīstību turpmāko gadu laikā parasti nav tik detalizēta tās mainības dēļ kā tiek prasīts šajos MK noteikumos. Turklāt esošās situācijas analīze netiek aktualizēta tik bieži, lai uz projekta pieteikuma iesniegšanas brīdi Attīstības programmā būtu atrodama jaunākā prognoze par pirmsskolas vecuma bērnu skaitu pašvaldībā tuvākajos 5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Anotācijā </w:t>
            </w:r>
            <w:r w:rsidR="00000000" w:rsidRPr="00000000" w:rsidDel="00000000">
              <w:rPr>
                <w:u w:val="single"/>
                <w:rtl w:val="0"/>
              </w:rPr>
              <w:t xml:space="preserve">Prasības projekta iesniedzējam</w:t>
            </w:r>
            <w:r w:rsidR="00000000" w:rsidRPr="00000000" w:rsidDel="00000000">
              <w:rPr>
                <w:rtl w:val="0"/>
              </w:rPr>
              <w:t xml:space="preserve"> otro rindkopu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paredz pašvaldības attīstības programmā, kā arī sniedz prognozi par pirmsskolas vecuma bērnu skaitu pašvaldībā turpmākajos piecos gados novada teritoriālo vienību vai valstspilsētu noteikto teritoriālo iedalījumu (apkaimju, mikrorajonu, u.c.) griezumā (ja tas ir iespējams no datu pieejamības viedokļa) un izvērtē PII pakalpojumu sniegšanas risinājumu alternatīvas, piemēram, tehniski ekonomiskajā pamatojumā vai citā dokumentā, kurā analizēti dati un infrastruktūras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13.03.2023.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13.03.2023.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Atzinumi_22-TA-3540.docx</dc:title>
</cp:coreProperties>
</file>

<file path=docProps/custom.xml><?xml version="1.0" encoding="utf-8"?>
<Properties xmlns="http://schemas.openxmlformats.org/officeDocument/2006/custom-properties" xmlns:vt="http://schemas.openxmlformats.org/officeDocument/2006/docPropsVTypes"/>
</file>