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6.1.4.1. ņemot vērā klašu komplektu skaitu, pieņemot, ka viena klase (1. klase, 2. klase, 3. klase utt.) ir uz katriem 40 izglītojamajiem tālmācības un neklātienes izglītības programmās, un aprēķinot skolotāju slodžu skaitu saskaņā ar šo noteikumu 2. pielikuma 1. tabulu;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par nepieciešamību atkārtoti izvērtēt noteikto minimālo izglītojamo skaitu tālmācības un neklātienes programmās. Vēršam uzmanību, ka esošajā Latvijas darbaspēka struktūrā puse nodarbināto ir mazkvalificēti, t.i., ar pamatskolas vai vidējās vispārējās izglītības līmeni. Sabiedrības interesēs ir būtiski paaugstināt un dot iespējas izglītojamajiem iegūt izglītības līmeni, kas ļauj viņiem iegūt kvalifikāciju, īpaši, ja izglītība tiek iegūta kādu laiku pēc mācību pamešanas. Apjomīga kvantitatīvā rādītāja noteikšana ierobežos šāda izglītības pakalpojuma pieejamību šīm mazkvalificētajām grupām, vēl vairāk radot riskus turpmākai Latvijas cilvēkkapitāla attīstības iespējai. Lūdzam vērtēt vai datos pamatot, ka šāda pieeja nerada riskus sabiedrības grupai, kas nav ieguvusi vai ir pametusi iepriekš vidējās vispārējās izglītības ieguvi.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w:t>
    </w:r>
    <w:r>
      <w:br/>
    </w:r>
    <w:r w:rsidR="00000000" w:rsidRPr="00000000" w:rsidDel="00000000">
      <w:rPr>
        <w:rtl w:val="0"/>
      </w:rPr>
      <w:t xml:space="preserve">Izdrukāts 17.03.2026. 20.32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w:t>
    </w:r>
    <w:r>
      <w:br/>
    </w:r>
    <w:r w:rsidR="00000000" w:rsidRPr="00000000" w:rsidDel="00000000">
      <w:rPr>
        <w:rtl w:val="0"/>
      </w:rPr>
      <w:t xml:space="preserve">Izdrukāts 17.03.2026. 20.32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Atzinumi_24-TA-164.docx</dc:title>
</cp:coreProperties>
</file>

<file path=docProps/custom.xml><?xml version="1.0" encoding="utf-8"?>
<Properties xmlns="http://schemas.openxmlformats.org/officeDocument/2006/custom-properties" xmlns:vt="http://schemas.openxmlformats.org/officeDocument/2006/docPropsVTypes"/>
</file>