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anotāciju, norādot visus punktus, kuros iekļauti izslēgšanas kritēriji atbalsta saņemšanai. Kā arī aicinām precizēt noteikumu projekta anotāciju atbilstoši maksātnespējas jomas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26.7., 33.5., 33.6. un 36.3. apakšpunktos paredzēts, ka atbalstu nepiešķir, ja gala saņēmējs atbilst normatīvajos aktos maksātnespējas jomā noteiktajiem kritērijiem, uz kuriem pamatojoties kreditors vai parādnieks var pieprasīt maksātnespējas procesu gala labuma guvējiem, ja gala saņēmējam, kuram lēmuma par atbalsta piešķiršanu brīdī ir pasludināts maksātnespējas process vai </w:t>
            </w:r>
            <w:r w:rsidR="00000000" w:rsidRPr="00000000" w:rsidDel="00000000">
              <w:rPr>
                <w:rtl w:val="0"/>
              </w:rPr>
              <w:t xml:space="preserve">ir ierosināta tiesiskās aizsardzības procesa lieta vai tiek īstenots tiesiskās aizsardzības process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29.10.2024.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29.10.2024.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