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5. decembra noteikumos Nr. 726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4.3.4.7. pasākuma "Nodarbināmības priekšnosacījumu nodrošināšana ieslodzītajiem, pilnveidojot resocializācijas sistēmas efektivitāti, sekmējot bijušo ieslodzīto iekļaušanos, vienlīdzīgas iespējas un aktīvu līdzdalību"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 sadaļu ar norādi "Jā", ievērojot to, ka noteikumu projekts tiek precizēts kontekstā ar Komisijas 2024. gada 30. septembra Regulu (ES, Euratom) </w:t>
            </w:r>
            <w:r w:rsidR="00000000" w:rsidRPr="00000000" w:rsidDel="00000000">
              <w:rPr>
                <w:b w:val="1"/>
                <w:rtl w:val="0"/>
              </w:rPr>
              <w:t xml:space="preserve">2024/2509</w:t>
            </w:r>
            <w:r w:rsidR="00000000" w:rsidRPr="00000000" w:rsidDel="00000000">
              <w:rPr>
                <w:rtl w:val="0"/>
              </w:rPr>
              <w:t xml:space="preserve"> par finanšu noteikumiem, ko piemēro Savienības vispārējam budžetam (ES Oficiālais Vēstnesis, 2024. gada 26. septembris, Nr. L 2024/2509). Attiecīgi būtu aizpildāma arī anotācijas tabula "Tiesību akta projekta atbilstība ES tiesību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plānotais kopējais finansējums ar elastības finansējumu ir 3 371 251 </w:t>
            </w:r>
            <w:r w:rsidR="00000000" w:rsidRPr="00000000" w:rsidDel="00000000">
              <w:rPr>
                <w:i w:val="1"/>
                <w:rtl w:val="0"/>
              </w:rPr>
              <w:t xml:space="preserve">euro </w:t>
            </w:r>
            <w:r w:rsidR="00000000" w:rsidRPr="00000000" w:rsidDel="00000000">
              <w:rPr>
                <w:rtl w:val="0"/>
              </w:rPr>
              <w:t xml:space="preserve">(no tā elastības finansējums – 531 900 </w:t>
            </w:r>
            <w:r w:rsidR="00000000" w:rsidRPr="00000000" w:rsidDel="00000000">
              <w:rPr>
                <w:i w:val="1"/>
                <w:rtl w:val="0"/>
              </w:rPr>
              <w:t xml:space="preserve">euro</w:t>
            </w:r>
            <w:r w:rsidR="00000000" w:rsidRPr="00000000" w:rsidDel="00000000">
              <w:rPr>
                <w:rtl w:val="0"/>
              </w:rPr>
              <w:t xml:space="preserve">), tai skaitā ESF+ finansējums 2 865 563 </w:t>
            </w:r>
            <w:r w:rsidR="00000000" w:rsidRPr="00000000" w:rsidDel="00000000">
              <w:rPr>
                <w:i w:val="1"/>
                <w:rtl w:val="0"/>
              </w:rPr>
              <w:t xml:space="preserve">euro </w:t>
            </w:r>
            <w:r w:rsidR="00000000" w:rsidRPr="00000000" w:rsidDel="00000000">
              <w:rPr>
                <w:rtl w:val="0"/>
              </w:rPr>
              <w:t xml:space="preserve">(no tā elastības finansējums – 452 115 </w:t>
            </w:r>
            <w:r w:rsidR="00000000" w:rsidRPr="00000000" w:rsidDel="00000000">
              <w:rPr>
                <w:i w:val="1"/>
                <w:rtl w:val="0"/>
              </w:rPr>
              <w:t xml:space="preserve">euro</w:t>
            </w:r>
            <w:r w:rsidR="00000000" w:rsidRPr="00000000" w:rsidDel="00000000">
              <w:rPr>
                <w:rtl w:val="0"/>
              </w:rPr>
              <w:t xml:space="preserve">) un valsts budžeta līdzfinansējums 505 688 </w:t>
            </w:r>
            <w:r w:rsidR="00000000" w:rsidRPr="00000000" w:rsidDel="00000000">
              <w:rPr>
                <w:i w:val="1"/>
                <w:rtl w:val="0"/>
              </w:rPr>
              <w:t xml:space="preserve">euro </w:t>
            </w:r>
            <w:r w:rsidR="00000000" w:rsidRPr="00000000" w:rsidDel="00000000">
              <w:rPr>
                <w:rtl w:val="0"/>
              </w:rPr>
              <w:t xml:space="preserve">(no tā elastības finansējums – 79 785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noteikumu projektu ar informāciju par finansējuma izmaiņām, balstoties uz Eiropas Savienības kohēzijas politikas programmas 2021.–2027. gadam grozījumos Nr.3 plānoto 4.3.4.7. pasākuma elastības finansējuma daļas samazinājumu par 67 133 euro (t.sk. 57 063 Eiropas Sociālā fonda Plus (ESF+) finansējums un 10 070 euro valsts budžeta finansējums) un ESF+ finansējuma pārdali Eiropas Sociālā fonda Plus programmai materiālās nenodrošinātības mazināšanai 2021.–2027. gadam. Secīgi precizējumi un skaidrojumi ir nepieciešami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noteikumu projekts tiks papildināts ar minēto finansējuma izmaiņu, attiecīgi lūdzam papildināt Ministru kabineta protokollēmumu ar jaunu punktu, kas paredz Tieslietu ministrijas rīcību gadījumā, ja Eiropas Komisija neatbalstīs minētos grozījumus Eiropas Savienības kohēzijas politikas programmā 2021.–2027.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punkta piemērs: Tieslietu ministrijai nekavējoties informēt Ministru kabinetu par tālākām rīcībām un konkrētiem risinājumiem gadījumā, ja Eiropas Komisija neatbalsta finansējuma pārdales Eiropas Savienības kohēzijas politikas programmas 2021.–2027. gadam grozījumos.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 (Elīna Zariņa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16.2.2.1. iekšzemes komandējumu, mācību, darba (dienesta) braucienu izmaksas projekta vadības un projekta īstenošanas personālam šo noteikumu </w:t>
            </w:r>
            <w:r w:rsidR="00000000" w:rsidRPr="00000000" w:rsidDel="00000000">
              <w:rPr>
                <w:rtl w:val="0"/>
              </w:rPr>
              <w:t xml:space="preserve">14.1.</w:t>
            </w:r>
            <w:r w:rsidR="00000000" w:rsidRPr="00000000" w:rsidDel="00000000">
              <w:rPr>
                <w:rtl w:val="0"/>
              </w:rPr>
              <w:t xml:space="preserve">, </w:t>
            </w:r>
            <w:r w:rsidR="00000000" w:rsidRPr="00000000" w:rsidDel="00000000">
              <w:rPr>
                <w:rtl w:val="0"/>
              </w:rPr>
              <w:t xml:space="preserve">14.2.</w:t>
            </w:r>
            <w:r w:rsidR="00000000" w:rsidRPr="00000000" w:rsidDel="00000000">
              <w:rPr>
                <w:rtl w:val="0"/>
              </w:rPr>
              <w:t xml:space="preserve">, </w:t>
            </w:r>
            <w:r w:rsidR="00000000" w:rsidRPr="00000000" w:rsidDel="00000000">
              <w:rPr>
                <w:rtl w:val="0"/>
              </w:rPr>
              <w:t xml:space="preserve">14.3.</w:t>
            </w:r>
            <w:r w:rsidR="00000000" w:rsidRPr="00000000" w:rsidDel="00000000">
              <w:rPr>
                <w:rtl w:val="0"/>
              </w:rPr>
              <w:t xml:space="preserve">, </w:t>
            </w:r>
            <w:r w:rsidR="00000000" w:rsidRPr="00000000" w:rsidDel="00000000">
              <w:rPr>
                <w:rtl w:val="0"/>
              </w:rPr>
              <w:t xml:space="preserve">14.4.</w:t>
            </w:r>
            <w:r w:rsidR="00000000" w:rsidRPr="00000000" w:rsidDel="00000000">
              <w:rPr>
                <w:rtl w:val="0"/>
              </w:rPr>
              <w:t xml:space="preserve">, </w:t>
            </w:r>
            <w:r w:rsidR="00000000" w:rsidRPr="00000000" w:rsidDel="00000000">
              <w:rPr>
                <w:rtl w:val="0"/>
              </w:rPr>
              <w:t xml:space="preserve">14.5.</w:t>
            </w:r>
            <w:r w:rsidR="00000000" w:rsidRPr="00000000" w:rsidDel="00000000">
              <w:rPr>
                <w:rtl w:val="0"/>
              </w:rPr>
              <w:t xml:space="preserve">, </w:t>
            </w:r>
            <w:r w:rsidR="00000000" w:rsidRPr="00000000" w:rsidDel="00000000">
              <w:rPr>
                <w:rtl w:val="0"/>
              </w:rPr>
              <w:t xml:space="preserve">14.6.</w:t>
            </w:r>
            <w:r w:rsidR="00000000" w:rsidRPr="00000000" w:rsidDel="00000000">
              <w:rPr>
                <w:rtl w:val="0"/>
              </w:rPr>
              <w:t xml:space="preserve"> un </w:t>
            </w:r>
            <w:r w:rsidR="00000000" w:rsidRPr="00000000" w:rsidDel="00000000">
              <w:rPr>
                <w:rtl w:val="0"/>
              </w:rPr>
              <w:t xml:space="preserve">14.9.</w:t>
            </w:r>
            <w:r w:rsidR="00000000" w:rsidRPr="00000000" w:rsidDel="00000000">
              <w:rPr>
                <w:rtl w:val="0"/>
              </w:rPr>
              <w:t xml:space="preserve"> apakšpunktā</w:t>
            </w:r>
            <w:r w:rsidR="00000000" w:rsidRPr="00000000" w:rsidDel="00000000">
              <w:rPr>
                <w:rtl w:val="0"/>
              </w:rPr>
              <w:t xml:space="preserve"> minēto atbalstāmo darbību īstenošanai, kā arī Ieslodzījuma vietu pārvaldes nodarbinātajiem un brīvprātīgajiem šo noteikumu 14.4, 14.5. un 14.6. apakšpunktā minēto atbalstāmo darbību īstenošanai, piemērojot vadošās iestādes izstrādātās vienas vienības izmaksu metodikas "Vienas vienības izmaksu standarta likmes aprēķina un piemērošanas metodika iekšzemes komandējumu izmaksām darbības programmas "Izaugsme un nodarbinātība" un Eiropas Savienības kohēzijas politikas programmas 2021.–2027. gadam īstenošanai" un "Vienas vienības izmaksu standarta likmes aprēķina un piemērošanas metodika 1 km izmaksām darbības programmas "Izaugsme un nodarbinātība" un Eiropas Savienības kohēzijas politikas programmas 2021.–2027. gadam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anotācijā ietvert skaidrojumu par Ieslodzījuma vietu pārvaldes nodarbināto un brīvprātīgo iesaisti projektā, viennozīmīgai tiesību normas izpratnei.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16.2.2.2. ārvalstu komandējumu izmaksas projekta vadītājam un projekta īstenošanas personālam šo noteikumu </w:t>
            </w:r>
            <w:r w:rsidR="00000000" w:rsidRPr="00000000" w:rsidDel="00000000">
              <w:rPr>
                <w:rtl w:val="0"/>
              </w:rPr>
              <w:t xml:space="preserve">14.1.</w:t>
            </w:r>
            <w:r w:rsidR="00000000" w:rsidRPr="00000000" w:rsidDel="00000000">
              <w:rPr>
                <w:rtl w:val="0"/>
              </w:rPr>
              <w:t xml:space="preserve">, </w:t>
            </w:r>
            <w:r w:rsidR="00000000" w:rsidRPr="00000000" w:rsidDel="00000000">
              <w:rPr>
                <w:rtl w:val="0"/>
              </w:rPr>
              <w:t xml:space="preserve">14.2.</w:t>
            </w:r>
            <w:r w:rsidR="00000000" w:rsidRPr="00000000" w:rsidDel="00000000">
              <w:rPr>
                <w:rtl w:val="0"/>
              </w:rPr>
              <w:t xml:space="preserve">, </w:t>
            </w:r>
            <w:r w:rsidR="00000000" w:rsidRPr="00000000" w:rsidDel="00000000">
              <w:rPr>
                <w:rtl w:val="0"/>
              </w:rPr>
              <w:t xml:space="preserve">14.3.</w:t>
            </w:r>
            <w:r w:rsidR="00000000" w:rsidRPr="00000000" w:rsidDel="00000000">
              <w:rPr>
                <w:rtl w:val="0"/>
              </w:rPr>
              <w:t xml:space="preserve">, </w:t>
            </w:r>
            <w:r w:rsidR="00000000" w:rsidRPr="00000000" w:rsidDel="00000000">
              <w:rPr>
                <w:rtl w:val="0"/>
              </w:rPr>
              <w:t xml:space="preserve">14.4.</w:t>
            </w:r>
            <w:r w:rsidR="00000000" w:rsidRPr="00000000" w:rsidDel="00000000">
              <w:rPr>
                <w:rtl w:val="0"/>
              </w:rPr>
              <w:t xml:space="preserve">, </w:t>
            </w:r>
            <w:r w:rsidR="00000000" w:rsidRPr="00000000" w:rsidDel="00000000">
              <w:rPr>
                <w:rtl w:val="0"/>
              </w:rPr>
              <w:t xml:space="preserve">14.6.</w:t>
            </w:r>
            <w:r w:rsidR="00000000" w:rsidRPr="00000000" w:rsidDel="00000000">
              <w:rPr>
                <w:rtl w:val="0"/>
              </w:rPr>
              <w:t xml:space="preserve"> un </w:t>
            </w:r>
            <w:r w:rsidR="00000000" w:rsidRPr="00000000" w:rsidDel="00000000">
              <w:rPr>
                <w:rtl w:val="0"/>
              </w:rPr>
              <w:t xml:space="preserve">14.9.</w:t>
            </w:r>
            <w:r w:rsidR="00000000" w:rsidRPr="00000000" w:rsidDel="00000000">
              <w:rPr>
                <w:rtl w:val="0"/>
              </w:rPr>
              <w:t xml:space="preserve"> apakšpunktā</w:t>
            </w:r>
            <w:r w:rsidR="00000000" w:rsidRPr="00000000" w:rsidDel="00000000">
              <w:rPr>
                <w:rtl w:val="0"/>
              </w:rPr>
              <w:t xml:space="preserve"> minēto atbalstāmo darbību īstenošanai, kā arī Ieslodzījuma vietu pārvaldes nodarbinātajiem šo noteikumu 14.4. apakšpunktā minēto atbalstāmo darbību īstenošanai. Ārvalstu komandējumu izmaksas aprēķina un atlīdzina atbilstoši normatīvajiem aktiem par kārtību, kādā atlīdzināmi ar komandējumiem saistītie izdevumi;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salāgot noteikumu projekta 2.punktā izteikto noteikumu 16.2.2.2.apakšpunktu ar noteikumu projekta 4.punktā izteikto noteikumu 30.punktu, kurā lietoti vārdi "kas nav projekta un vadības personāls", lai nerastos interpretācijas problēmas.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16.2.2.2. ārvalstu komandējumu izmaksas projekta vadītājam un projekta īstenošanas personālam šo noteikumu 14.1., 14.2., 14.3., 14.4., 14.6. un 14.9. apakšpunktā minēto atbalstāmo darbību īstenošanai, kā arī Ieslodzījuma vietu pārvaldes nodarbinātajiem, kas nav projekta un vadības personāls šo noteikumu 14.4. apakšpunktā minēto atbalstāmo darbību īstenošanai. Ārvalstu komandējumu izmaksas aprēķina un atlīdzina atbilstoši normatīvajiem aktiem par kārtību, kādā atlīdzināmi ar komandējumiem saistītie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25-TA-98</w:t>
    </w:r>
    <w:r>
      <w:br/>
    </w:r>
    <w:r w:rsidR="00000000" w:rsidRPr="00000000" w:rsidDel="00000000">
      <w:rPr>
        <w:rtl w:val="0"/>
      </w:rPr>
      <w:t xml:space="preserve">Izdrukāts 12.03.2025. 17.25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25-TA-98</w:t>
    </w:r>
    <w:r>
      <w:br/>
    </w:r>
    <w:r w:rsidR="00000000" w:rsidRPr="00000000" w:rsidDel="00000000">
      <w:rPr>
        <w:rtl w:val="0"/>
      </w:rPr>
      <w:t xml:space="preserve">Izdrukāts 12.03.2025. 17.25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Atzinumi_25-TA-98.docx</dc:title>
</cp:coreProperties>
</file>

<file path=docProps/custom.xml><?xml version="1.0" encoding="utf-8"?>
<Properties xmlns="http://schemas.openxmlformats.org/officeDocument/2006/custom-properties" xmlns:vt="http://schemas.openxmlformats.org/officeDocument/2006/docPropsVTypes"/>
</file>