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25-TA-2099: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Sociālās ekonomikas plāns 2026.–2029.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Plānošanas dokumenta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Sociālās ekonomikas plāns 2026.–2029.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3.2.pasākuma nosaukumu papildnāt ar atsauci uz sociāli uzņēmumiem, izsakto to šādā redakcijā "Esošā finanšu atbalsta izvērtēšana un sistematizēšana, vajadzību apzināšana sociālajā ekonomikā, kas saistīts ar sociālajiem uzņēmumiem.".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Anita Zimele (EM)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Plānošanas dokumenta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Sociālās ekonomikas plāns 2026.–2029.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3.1. pasākumā līdzatbildīgo nomainīt uz CFLA, kas galvenokārt nodrošina grantu piešķiršanu. Skaidrojam, ka grantus projektiem ES struktūrfondos piešķir CFLA, nevis ALTUM.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Anita Zimele (EM)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Plānošanas dokumenta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Sociālās ekonomikas plāns 2026.–2029.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1.Novērst noformējuma nepilnības.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2.Mainīt tabulas ,,6. Sociālās ekonomikas plāna 2026.–2029.gadam rīcības virzieni un pasākumi’’ 1.5.punkta kolonnā ,,Termiņš (gads un cet.)''  tekstu.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1.Novērst noformējuma nepilnības ziņojuma saturā un 17.lpp. (</w:t>
            </w:r>
            <w:r w:rsidR="00000000" w:rsidRPr="00000000" w:rsidDel="00000000">
              <w:rPr>
                <w:b w:val="1"/>
                <w:rtl w:val="0"/>
              </w:rPr>
              <w:t xml:space="preserve">5.1. Plāna mērķi un uzdevumi</w:t>
            </w:r>
            <w:r w:rsidR="00000000" w:rsidRPr="00000000" w:rsidDel="00000000">
              <w:rPr>
                <w:rtl w:val="0"/>
              </w:rPr>
              <w:t xml:space="preserve">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2.Mainīt tabulas ,,6. Sociālās ekonomikas plāna 2026.–2029.gadam rīcības virzieni un pasākumi’’ 1.5.punkta kolonnā ,,Termiņš (gads un cet.)''  tekstu uz  ,,Reizi gadā, sākot ar 2028.gadu (dati par 2027.gadu)’’.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Lija Luste (CSP)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11.12.2025. 16.22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11.12.2025. 16.22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