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23-TA-3125)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Tabakas izstrādājumu un augu smēķēšanas produktu ražošanas iekārtu aprite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Visas tabakas izstrādājumu un augu smēķēšanas produktu ražošanas iekārtas faktiskais valdītājs (fiziska vai juridiska persona) reģistrē tabakas izstrādājumu un augu smēķēšanas produktu ražošanas iekārtu reģistrā (turpmāk – iekārtu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Pārvadātājs (fiziska vai juridiska persona) paziņo iekārtu reģistrā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Latvijā aizliegts saņemt, uzglabāt, izmantot un pārvietot iekārtas, kuras nav reģistrētas iekārtu reģistrā vai par kurām nav paziņots iekārtu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prasības iekārtu reģistram,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iekārtu pirmreizējai reģistrācijai, izmaiņu reģistrācijai un izslēgšanai no iekārtu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pārvadātājs iekārtu reģistrā paziņo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nosacījumi par reģistrāciju iekārtu reģistrā neattiecas uz tām iekārtām, kas nav reģistrētas iekārtu reģistrā un kuras ir lietiskais pierādījums vai arestētā manta kriminālprocesā, izņemtā manta administratīvo pārkāpumu lietā vai valstij piekritīgā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Atbildīgā iestāde paziņo iekārtu reģistra turētājam, ja iekārtu reģistrā reģistrēta iekārta kļūst par  lietisko pierādījumu vai arestēto mantu kriminālprocesā, izņemto mantu administratīvā pārkāpuma lietā vai valstij piekritīgo mantu, kā arī par izmaiņām iekārtas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Konfiscētās tabakas izstrādājumu un augu smēķēšanas produktu ražošanas iekārtas iznīcina."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Izvērtējams regulējums, kas attiecas uz publiskas personas rīcībā esošu iekārtu, kuru tā ieguvusi, veicot publiski tiesisku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paredzēts, ka prasība reģistrēt iekārtu neattiecas "uz tām iekārtām, kas nav reģistrētas iekārtu reģistrā un kuras ir lietiskais pierādījums vai arestētā manta kriminālprocesā, izņemtā manta administratīvo pārkāpumu lietā vai valstij piekritīgā manta". Savukārt "atbildīgā iestāde paziņo iekārtu reģistra turētājam, ja iekārtu reģistrā reģistrēta iekārta kļūst par lietisko pierādījumu vai arestēto mantu kriminālprocesā, izņemto mantu administratīvā pārkāpuma lietā vai valstij piekritīgo mantu, kā arī par izmaiņām iekārtas statusā".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rada jautājumu, vai valstij vai citai publiskai personai vispārīgi ir jāreģistrē iekārta, ja publiska persona to iegūst savā rīcībā, veicot publiski tiesisku uzdevumu. Ja tāda pienākuma nav, tad nav nepieciešami nekādi izņēmumi šajā ziņā. Savukārt, ja likumprojektā tiek iekļauts izņēmumu uzskaitījums, tad jābūt skaidram, kāpēc ir tieši šādi izņēmuma gadījumi. Likumprojekta anotācijā tas nav skaidrots. Tāpat apšaubāms, ka iekārtu reģistra turētājam būtu nepieciešams un varētu būtu tiesības zināt, ka ierīce ir tieši izņemtā manta administratīvā pārkāpuma procesā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Tabakas izstrādājumu un augu smēķēšanas produktu ražošanas iekārtu aprite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Visas tabakas izstrādājumu un augu smēķēšanas produktu ražošanas iekārtas faktiskais valdītājs (fiziska vai juridiska persona) reģistrē tabakas izstrādājumu un augu smēķēšanas produktu ražošanas iekārtu reģistrā (turpmāk – iekārtu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Pārvadātājs (fiziska vai juridiska persona) paziņo iekārtu reģistrā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Latvijā aizliegts saņemt, uzglabāt, izmantot un pārvietot iekārtas, kuras nav reģistrētas iekārtu reģistrā vai par kurām nav paziņots iekārtu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prasības iekārtu reģistram,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iekārtu pirmreizējai reģistrācijai, izmaiņu reģistrācijai un izslēgšanai no iekārtu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pārvadātājs iekārtu reģistrā paziņo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nosacījumi par reģistrāciju iekārtu reģistrā neattiecas uz tām iekārtām, kas nav reģistrētas iekārtu reģistrā un kuras ir lietiskais pierādījums vai arestētā manta kriminālprocesā, izņemtā manta administratīvo pārkāpumu lietā vai valstij piekritīgā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Atbildīgā iestāde paziņo iekārtu reģistra turētājam, ja iekārtu reģistrā reģistrēta iekārta kļūst par  lietisko pierādījumu vai arestēto mantu kriminālprocesā, izņemto mantu administratīvā pārkāpuma lietā vai valstij piekritīgo mantu, kā arī par izmaiņām iekārtas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Konfiscētās tabakas izstrādājumu un augu smēķēšanas produktu ražošanas iekārtas iznīcina."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panta pirmajā daļā ietverto subjektu loku.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ir norādīts, ka </w:t>
            </w:r>
            <w:r w:rsidR="00000000" w:rsidRPr="00000000" w:rsidDel="00000000">
              <w:rPr>
                <w:i w:val="1"/>
                <w:rtl w:val="0"/>
              </w:rPr>
              <w:t xml:space="preserve">visas tabakas izstrādājumu un augu smēķēšanas produktu ražošanas iekārtas faktiskais valdītājs (fiziska vai juridiska persona) reģistrē tabakas izstrādājumu un augu smēķēšanas produktu ražošanas iekārtu reģistrā.  </w:t>
            </w:r>
            <w:r w:rsidR="00000000" w:rsidRPr="00000000" w:rsidDel="00000000">
              <w:rPr>
                <w:rtl w:val="0"/>
              </w:rPr>
              <w:t xml:space="preserve">Nav saprotams un attiecīgi anotācijā nav ietverts skaidrojums, kāpēc likumprojektā kā subjekts ir norādīts tieši tabakas izstrādājumu un augu smēķēšanas produktu ražošanas iekārtas faktiskais valdītājs (fiziska vai juridiska persona), nevis, piemēram, īpašnieks. Lūdzam precizēt pantā ietverto subjektu loku vai paskaidrot tabakas izstrādājumu un augu smēķēšanas produktu ražošanas iekārtas </w:t>
            </w:r>
            <w:r w:rsidR="00000000" w:rsidRPr="00000000" w:rsidDel="00000000">
              <w:rPr>
                <w:b w:val="1"/>
                <w:rtl w:val="0"/>
              </w:rPr>
              <w:t xml:space="preserve">faktiskā valdītāja</w:t>
            </w:r>
            <w:r w:rsidR="00000000" w:rsidRPr="00000000" w:rsidDel="00000000">
              <w:rPr>
                <w:rtl w:val="0"/>
              </w:rPr>
              <w:t xml:space="preserve"> (fiziska vai juridiska persona) ietveršanas pantā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anotācijā par pārkāpumiem nav iekļauts pilnvērtīgs administratīvās atbildības nepieciešamības un pieļaujamības kritēriju izvērtējums, kā arī pilnvērtīgs un izsmeļošs soda veida un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likumprojekta anotācijā iekļaut likumprojekta 5. pantā paredzēto pārkāpumu satura skaidrojumu un norādīt korespondējošās tiesību normas, par kuru neievērošanu būs paredzēta administratīvā atbildība. Papildus lūdzam likumprojekta anotāciju papildināt ar administratīvās atbildības </w:t>
            </w:r>
            <w:r w:rsidR="00000000" w:rsidRPr="00000000" w:rsidDel="00000000">
              <w:rPr>
                <w:b w:val="1"/>
                <w:rtl w:val="0"/>
              </w:rPr>
              <w:t xml:space="preserve">nepieciešamības un pieļaujamības kritēriju izvērtējumu par katru pārkāpumu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w:t>
            </w:r>
            <w:r w:rsidR="00000000" w:rsidRPr="00000000" w:rsidDel="00000000">
              <w:rPr>
                <w:rtl w:val="0"/>
              </w:rPr>
              <w:t xml:space="preserve">)</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likumprojekta anotācijā iekļaut pilnvērtīgu soda veida un apmēra izvēles pamatojumu. Anotācijā ir norādīts, ka "likumprojekts paredz, ka par iekārtu, kas nav reģistrētas normatīvajos aktos noteiktajā kārtībā, saņemšanu, uzglabāšanu, pārvietošanu un izmantošanu, piemēro naudas sodu fiziskajai personai no piecdesmit sešām (280 </w:t>
            </w:r>
            <w:r w:rsidR="00000000" w:rsidRPr="00000000" w:rsidDel="00000000">
              <w:rPr>
                <w:i w:val="1"/>
                <w:rtl w:val="0"/>
              </w:rPr>
              <w:t xml:space="preserve">euro</w:t>
            </w:r>
            <w:r w:rsidR="00000000" w:rsidRPr="00000000" w:rsidDel="00000000">
              <w:rPr>
                <w:rtl w:val="0"/>
              </w:rPr>
              <w:t xml:space="preserve">) līdz simt četrdesmit (700 </w:t>
            </w:r>
            <w:r w:rsidR="00000000" w:rsidRPr="00000000" w:rsidDel="00000000">
              <w:rPr>
                <w:i w:val="1"/>
                <w:rtl w:val="0"/>
              </w:rPr>
              <w:t xml:space="preserve">euro</w:t>
            </w:r>
            <w:r w:rsidR="00000000" w:rsidRPr="00000000" w:rsidDel="00000000">
              <w:rPr>
                <w:rtl w:val="0"/>
              </w:rPr>
              <w:t xml:space="preserve">) naudas soda vienībām, bet juridiskajai personai — no piecdesmit sešām (280 </w:t>
            </w:r>
            <w:r w:rsidR="00000000" w:rsidRPr="00000000" w:rsidDel="00000000">
              <w:rPr>
                <w:i w:val="1"/>
                <w:rtl w:val="0"/>
              </w:rPr>
              <w:t xml:space="preserve">euro</w:t>
            </w:r>
            <w:r w:rsidR="00000000" w:rsidRPr="00000000" w:rsidDel="00000000">
              <w:rPr>
                <w:rtl w:val="0"/>
              </w:rPr>
              <w:t xml:space="preserve">) līdz tūkstoš četrsimt divdesmit naudas (7100 </w:t>
            </w:r>
            <w:r w:rsidR="00000000" w:rsidRPr="00000000" w:rsidDel="00000000">
              <w:rPr>
                <w:i w:val="1"/>
                <w:rtl w:val="0"/>
              </w:rPr>
              <w:t xml:space="preserve">euro</w:t>
            </w:r>
            <w:r w:rsidR="00000000" w:rsidRPr="00000000" w:rsidDel="00000000">
              <w:rPr>
                <w:rtl w:val="0"/>
              </w:rPr>
              <w:t xml:space="preserve">) soda vienībām. Šāds sodu apmērs izvēlēts, balstoties uz soda apmēru, kas noteikts likuma “Par akcīzes nodokli” 35. pantā par administratīvajiem pārkāpumiem akcīzes preču aprites jomā. Lai arī iekārtas nav akcīzes preces, tomēr ar tām var saražot tikai un vienīgi akcīzes preces, tātad iekārtas ir cieši saistītas ar akcīzes precēm, to apriti, tai skaitā akcīzes preču ražošanu, kas ir īpaši reglamentēta joma.".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anotācijā nav ietverts argumentēts skaidrojums, kāpēc par iekārtu, kas </w:t>
            </w:r>
            <w:r w:rsidR="00000000" w:rsidRPr="00000000" w:rsidDel="00000000">
              <w:rPr>
                <w:b w:val="1"/>
                <w:rtl w:val="0"/>
              </w:rPr>
              <w:t xml:space="preserve">nav akcīzes preces </w:t>
            </w:r>
            <w:r w:rsidR="00000000" w:rsidRPr="00000000" w:rsidDel="00000000">
              <w:rPr>
                <w:rtl w:val="0"/>
              </w:rPr>
              <w:t xml:space="preserve">un kas nav reģistrētas normatīvajos aktos noteiktajā kārtībā, saņemšanu, uzglabāšanu, pārvietošanu un izmantošanu, piemēro naudas sodu, balstoties uz soda apmēru, kas noteikts likuma “Par akcīzes nodokli” 35. pantā par administratīvajiem pārkāpumiem akcīzes preču aprites jomā. Lūdzam attiecīgi papildināt anotāciju, ietverot argumentētu soda apmēra izvēles pamatojumu (gan soda minimālā, gan maksimālā apmēra).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Reģistrācijas pienākumam jābūt izsmeļoši noteiktam likumā. Ministru kabinets varētu regulēt atsevišķus procesuālus (t. s. "kārtības") jautājumus, tomēr Ministru kabinetam nav piešķiramas tiesības noteikt gadījumus, kad iekārta reģistrējama, reģistrējamas izmaiņas vai iekārta izslēdzama no reģistra. It īpaši tas ir nozīmīgi gadījumā, ja saistībā ar reģistrācijas pārkāpumiem ir paredzēta administratīvā atbildība. Nav pieļaujama situācija, ka pārkāpuma saturu būtībā noteiktu izpildvara, nevis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anotācijā ietverts apgalvojums: "Iekārtu reģistrs uzskatāms par instrumentu, lai konstatētu iekārtu izmantošanas nodomu – ja iekārtas netiek reģistrētas iekārtu reģistrā, var pieņemt, ka tā ir personas izvēle un apzināta rīcība, kas vērsta uz iekārtas slēpšanu no iespējamās uzraudzības, lai, visticamāk, iekārtu izmantotu nelegālu izstrādājumu ražošanā." Šādam pieņēmumam nav faktos balstīta pamatojuma, pat vērtējot jebkuru noteiktu reģistrācijas pienākumu. Iemesli, kāpēc persona nereģistrē kaut ko, var būt visai dažādi, sākot no tiešām ļaunprātīgas rīcības un beidzot ar nolaidību, negatīvu attieksmi pret valsts noteiktiem pienākumiem vai arī nezināšanu. Turklāt arī administratīvā pārkāpuma procesā personas attieksme (t. s. subjektīvās puses elementi) vairs nav vērtējamais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Mērķa sasniegšanas efektivitātes aspektā rūpīgi izvērtējams Beztabakas Produktu Asociācijas iebildumā norādītais, ka "problemātiku nav iespējams novērst ar piedāvātajiem mehānismiem" un "tā kā nelegālās ražotnes jau šobrīd nav reģistrējušas iekārtas, kuras izmanto ražošanā, lai gan par to draud sods, nav pamata gaidīt, ka jaunas prasības motivēs šīs personas iekārtas reģistrēt". Likumprojekts, ja neskaita vispārīgu norādi par to, ka dažas iestādes kontrolē prasību izpildi, neparedz nekādu konkrētu un vismaz teorētiski efektīvu kontroles mehānismu. Administratīvās atbildības esība nav kontroles vai uzraudzības izpausme un tās potenciālā ietekme balstās pārliecībā par varbūtēji augstu vispārējās prevencijas līmeni. Ievērojot arī kriminālatbildības esību un raksturoto nelegālo tabakas izstrādājumu apriti, var rasties pamatotas šaubas, ka mērķis tiks sasniegts vērā ņemamā apmērā. Turklāt mūsdienās valsts nevar vairs izmantot pieeju baidīt ar represīviem pasākumiem; ilgtermiņā tās atstāj tikai negatīvu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anotācijā norādīts: "Ņemot vērā iespējamo kaitējumu, kas var tikt nodarīts ar reģistrā nereģistrētām iekārtām, naudas soda piemērošana un iespējamā nereģistrētas iekārtas konfiskācija un iznīcināšana ir ievērojami efektīvāks motivējošs līdzeklis, lai iekārtas tomēr tiktu reģistrētas iekārtu reģistrā, nekā administratīvā akta izdošana, konstatējot nereģistrētu iekārtu." Pirmkārt, mērķis nav panākt, lai iekārtas tiktu reģistrētas. Reģistrācija ir tikai piedāvātais līdzeklis, lai ietekmētu nelegāli ražotas tabakas apriti vai tamlīdzīgi. Līdz ar to administratīvās atbildības nepieciešamība vērtējama šāda mērķa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šeit nav konkretizēts, kāda veida administratīvais akts ir salīdzināts. Administratīvā procesa prioritātes princips nozīmē, ka nesodoša rakstura pasākumi ir prioritāti. Šajā ziņā pasākumi var būt visdažādākie, sākot no tā, ka iestāde, konstatējot nereģistrētu iekārtu, pati to reģistrē, un beidzot ar dažādiem pienākumiem personai vai pat iekārtas administratīvu konfiskāciju (ja tā neiegūst soda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w:t>
            </w:r>
            <w:r w:rsidR="00000000" w:rsidRPr="00000000" w:rsidDel="00000000">
              <w:rPr>
                <w:b w:val="1"/>
                <w:rtl w:val="0"/>
              </w:rPr>
              <w:t xml:space="preserve">tabakas izstrādājumu un augu smēķēšanas produktu ražošanas iekārtas</w:t>
            </w:r>
            <w:r w:rsidR="00000000" w:rsidRPr="00000000" w:rsidDel="00000000">
              <w:rPr>
                <w:rtl w:val="0"/>
              </w:rPr>
              <w:t xml:space="preserve"> – iekārtas, vai to patstāvīgās daļas, kas ir konstruētas vai pielāgotas, lai tās izmantotu tikai tabakas izstrādājumu un augu smēķēšanas produktu ražošanai, un ir ražošanas procesa neatņemama sastāvdaļa. Par tabakas izstrādājumu un augu smēķēšanas produktu ražošanas iekārtām šī likuma izpratnē nav uzskatāmas iekārtas, ar kurām tabakas izstrādājumus un augu smēķēšanas produktus fiziska persona izgatavo manuāli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lietoti termini acīmredzami ir sakārtoti alfabēta secībā, ierosinām jaunu terminu ievietot uzreiz pēc grozāmā likuma 1. panta 31.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Valsts ieņēmumu dienests, Valsts policija, pašvaldības policija un Valsts robežsardze kontrolē šā likuma 8.</w:t>
            </w:r>
            <w:r w:rsidR="00000000" w:rsidRPr="00000000" w:rsidDel="00000000">
              <w:rPr>
                <w:vertAlign w:val="superscript"/>
                <w:rtl w:val="0"/>
              </w:rPr>
              <w:t xml:space="preserve">1</w:t>
            </w:r>
            <w:r w:rsidR="00000000" w:rsidRPr="00000000" w:rsidDel="00000000">
              <w:rPr>
                <w:rtl w:val="0"/>
              </w:rPr>
              <w:t xml:space="preserve"> pantā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skaidri norādīt katras iestādes kompetenci grozāmā likuma 8.</w:t>
            </w:r>
            <w:r w:rsidR="00000000" w:rsidRPr="00000000" w:rsidDel="00000000">
              <w:rPr>
                <w:vertAlign w:val="superscript"/>
                <w:rtl w:val="0"/>
              </w:rPr>
              <w:t xml:space="preserve">1</w:t>
            </w:r>
            <w:r w:rsidR="00000000" w:rsidRPr="00000000" w:rsidDel="00000000">
              <w:rPr>
                <w:rtl w:val="0"/>
              </w:rPr>
              <w:t xml:space="preserve"> pantā paredzēto prasību izpildes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pievērst uzmanību apstāklim, ka administratīvā pārkāpuma procesa veikšana (administratīvā atbildība) nav kontroles izpausmes. Kontrole (vai uzraudzība) ir stingri norobežojama no sodīšanas. Līdz ar to arī likumprojekta anotācijas 7.4. sadaļā ir neprecīzi norādīts, ka iestāžu "uzdevumi tiks paplašināti ar tabakas izstrādājumu un augu smēķēšanas produktu ražošanas iekārtu aprites kontroli, tostarp ar administratīvā pārkāpuma procesa veikšanu".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Valsts ieņēmumu dienests uztur Tabakas izstrādājumu un augu smēķēšanas produktu ražošanas iekārtu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3. pantā izveidoto saīsinājumu "iekārtu reģistrs", aicinām to konsekventi izmantot likumprojekta turpmākajā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11.07.2025.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11.07.2025.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