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ziņojumus par bērnu stāvokli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5.lpp. ietverto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padziļinātāku izpratni par nozaru paveikto dažādos jautājumos ir pieejami ikgadējos pārskatos ar plašāku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Plašāku ieskatu par bērniem Latvijā [..] iespējams lasīt ikgadējos statistisko datu krājumos “Bērni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plašāks ieskats par bērnu nonākšanu konfliktā ar likumu pieejams IeM sagatavotajos ikgadējos pārskatos par nepilngadīgo noziedzības stāvokli un noziedzīgos nodarījumos cietušajiem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precizēt/uzskaitīt nozares (tostarp attiecībā uz Satiksmes ministrijas kompetenci), kas ļautu turpmāk "saprast" vai ministrijas pievēršanās nepilngadīgo problemātikai veltītajiem jautājumiem politikā un pārskatos ir pietiekama, raugoties caur "bērna labāko interešu" prizmu;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saiti uz IeM sagatavotajiem ikgadējajiem attiecīgajiem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Informatīvajā ziņojumā sniegt šajos ārējos datu avotos pieejamo datu tendenču un integritātes izvērtējumu (caur vienotu redzējumu), kas ļautu saskatīt korelāciju starp šajā ziņojumā aprakstīto bērniem veltīto pasākumu kopu un šo pasākumu faktisko ietekmi uz mērķa grupu (kuras šajā ziņojumā iztrūkst).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fokusēties uz konkrētu pasākumu rezultātiem, bet ne skatīt šos pasākumus teorētiski un atrauti no to ietekmes, un pašus par sevi pasniegt kā sekmīgus, mērķa grupai vērtīgus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Minot plānotu pasākumu - vienlaikus norādīt tā prognozēto ietekmi uz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ziņojuma precizējumi ļautu nozaru ministrijām, tostarp Satiksmes ministrijai, labāk uztvert tās kompetenču jomā esošo bērna tiesību aizsardzības jautājumu vājās vietas, kurām pievēršama pastiprināta uzmanība.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30.09.2026.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30.09.2026.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Atzinumi_26-TA-2273.docx</dc:title>
</cp:coreProperties>
</file>

<file path=docProps/custom.xml><?xml version="1.0" encoding="utf-8"?>
<Properties xmlns="http://schemas.openxmlformats.org/officeDocument/2006/custom-properties" xmlns:vt="http://schemas.openxmlformats.org/officeDocument/2006/docPropsVTypes"/>
</file>