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Konceptuālais ziņojums nav izstrādāts atbilstoši Ministru kabineta 2014. gada 2. decembra noteikumu Nr. 737 “Attīstības plānošanas dokumentu izstrādes un ietekmes izvērtēšanas noteikumi” 5. sadaļas “Konceptuāls ziņojums” prasībām. Respektīvi, Konceptuālā ziņojuma V.sadaļā “Ietekme uz valsts un pašvaldību budžetu” sniegtā informācija nav sagatavota atbilstoši iepriekš minēto noteikumu 3.pielikumam, jo tajā nav skaidri norādīta katra īstenojamā pasākuma ietekme uz valsts budžetu, pieejamais un/vai papildus nepieciešamais finansējums katram īstenojamajam pasākumam, kā arī detalizēti aprēķini sniegti par atsevišķiem pasākumiem, bet ne par visiem plānotajiem pasākumiem. Tādējādi nav izpildīta minēto noteikumu 28.5. apakšpunktā noteiktā prasība izvērtēt katra risinājuma ietekmi uz valsts un pašvaldību budžetiem, norādot pieejamo un papildus nepieciešamo finansējumu sadalījumā pa resoriem, programmām/apakšprogrammām, finansējuma avotiem, ietverot arī iespējamo līdzekļu ietaupījumu, kā arī 29. punktā noteiktā prasība konceptuālajam ziņojumam pievienot detalizētus aprēķinus par papildus nepieciešamā finansējuma ietekmi uz valsts un pašvaldību budžetiem. Šobrīd Konceptuālā ziņojuma V.sadaļā “Ietekme uz valsts un pašvaldību budžetu” pievienotas 2 tabulas, kuras neveido savstarpēju sasaisti. Ņemot vērā minēto šī sadaļa ir precizējama, t.sk., informāciju par finansējumu uzrādot visiem Konceptuālā ziņojuma 11. un 12.lpp. uzrādītajiem īstenojamiem pasākumiem, kā arī nodrošinot 25.-30.lpp. iekļautajā tabulā ietverto pozīciju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Konceptuālā ziņojuma V.sadaļā “Ietekme uz valsts un pašvaldību budžetu” nav sniegta pilnīga informācija par šobrīd valsts budžetā plānotajiem līdzekļiem Konceptuālā ziņojumā ietverto jautājumu risināšanai. Saskaņā ar 25.lpp. tabulā sniegto informāciju šobrīd valsts valodas apmācību un ar to saistīto jautājumu īstenošanai likumā “Par valsts budžetu 2026. gadam un budžeta ietvaru 2026., 2027. un 2028. gadam” ir plānots finansējums tikai Izglītības un zinātnes ministrijas budžetā un tikai 14 802 euro apmērā ik gadus, kas neatbilst patiesībai, ko apliecina gan pašā Konceptuālajā ziņojumā II.sadaļas “Esošās situācijas apraksts” preambulā un pārējā sadaļā sniegtā informācija, gan Konceptuālā ziņojuma 1.pielikumā sniegtā informācija. Ņemot vērā minēto Konceptuālā ziņojuma V.sadaļa “Ietekme uz valsts un pašvaldību budžetu” ir precizējama, papildinot to ar informāciju, ka finansējums valsts valodas apguvei tiek plānots ne tikai Izglītības un zinātnes ministrijas valsts budžeta apakšprogrammas 42.05.00 “Valsts izglītības attīstības aģentūras darbības nodrošināšana” ietvaros, bet arī tās valsts budžeta programmā 04.00.00 “Valsts valodas politika un pārvalde”, kā arī Kultūras ministrijas, Sabiedrības integrācijas fonda un Labklājības ministrijas budžetos.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konceptuālā ziņojuma V sadaļas “Ietekme uz valsts un pašvaldību budžetu” tabulā iekļauto informāciju ar tiesību akta projekta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pielikumā sniegto informāciju par pasākuma “Moduļa valsts valodas apguves pakalpojuma saņemšanai un pārvaldībai izveide” īstenošanai plānoto finansējumu sadalījumā pa gadiem. Vēršam uzmanību, ka atšķirīgs finansējums norādīts 2026. un 2028.gadam (1 euro nobīde). Attiecīgi, nepieciešamības gadījumā ir precizējams arī kopējais nepieciešamā papildus finansējuma apmērs konceptuālā ziņojuma īstenošanai šajos gados, kā arī informācija konceptuālā ziņojuma V sadaļas “Ietekme uz valsts un pašvaldību budžetu” 26. un 27.lpp.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konceptuālā ziņojuma V sadaļas “Ietekme uz valsts un pašvaldību budžetu” tabulās attiecībā uz papildus nepieciešamā finansējuma apmēru 2029.gadam, kā arī papildinot šīs sadaļas otro tabulu ar aili un vērtībām “kopā”. Vēršam uzmanību, ka starpība starp abām tabulām veido 14 801 euro 2029.gadā, kā arī 1 euro neprecizitāti 2026. gadā un 2028.gadā.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V sadaļas “Ietekme uz valsts un pašvaldību budžetu” otrās tabulas 5.1., 8.1. un 8.2 pozīcijas ar vērtībām sadalījumā pa gadiem, kā arī pievienojot detalizētu aprēķinu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detalizētu aprēķinu konceptuālā ziņojuma V sadaļas “Ietekme uz valsts un pašvaldību budžetu” otrās tabulas 1.1..pasākumam, 6.pasākumam, vienlaikus skaidrojot papildu finansējuma nepieciešamību jau šobrīd IKVD īstenojamai funkcijai, kā arī 7.1.1.-7.1.6., 7.1.8. un 7.1.9.pozīcijām, tāpat lūdzam skaidrot pamatojumu pastāvīga papildu finansējuma nepieciešamībai pēc būtības vienreizējiem izdevumiem, piemēram darba vietas ierīkošanai. Vienlaikus nepieciešams skaidrot papildu finansējuma nepieciešamību visam 7.punktā paredzētajam pasākumam, jo saskaņā ar 2012.gada 18.decembra Ministru kabineta noteikumiem Nr.938 “Latviešu valodas aģentūras nolikums” nodrošināt atbalstu latviešu valodas apguvei Latvijā un ārvalstīs jau šobrīd ir viena no Latviešu valodas aģentūras pamatfunkcijām, kurām ik gadus budžetā tiek plānots finansējums. Ja Latviešu valodas aģentūra plāno pārņemt citu institūciju funkciju īstenošanu, tad tādam mērķim ir pārdalāms arī finansējums no attiecīgajām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 sadaļas “Ietekme uz valsts un pašvaldību budžetu” pirmās tabulas Izglītības un zinātnes ministrijas budžeta apakšprogrammā 15.01.50 “Eiropas Savienības struktūrfondu projektu un pasākumu īstenošana izglītībā” var tikt plānots finansējums tikai Eiropas Savienības struktūrfondu projektu un pasākumu īstenošanai, kuriem vienmēr ir skaidri noteikts sākuma un beigu termiņš. Līdz ar to nevar veidoties tāda situācija, ka šajā apakšprogrammā turpmāk ir nepieciešams plānot papildu finansējumu 9 157 545 euro apmērā ik gadus bez termiņa ierobežojuma un bez skaidra plāna kāda Eiropas Savienības projekta vai pasākuma īstenošanai tas paredzēts, tostarp nav skaidrs pamatojums uzrādītajai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kādam mērķim ir nepieciešams papildu finansējums V sadaļas “Ietekme uz valsts un pašvaldību budžetu” otrās tabulas 3.pasākumam. Ja tas ir finansējums, kas ir jāmaksā latviešu valodas kursu nodrošinātājiem, tad attiecīgās izmaksas būtu uzskatāmas par mācību kursu samaksas sastāvdaļu un norādāmas pie izmaksām mācību kursu organizēšanai. Savukārt, ja tās ir izmaksas valsts valodas prasmes pārbaužu īstenotājiem, tad šādam mērķim budžetā finansējums jau šobrīd tiek plānots, līdz ar to nav pamatojuma papildu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rīcībā esošajai informācijai finansējums Kultūras ministrijas valsts budžeta apakšprogrammā 70.24.00 “Iekšējās drošības un Patvēruma, migrācijas un integrācijas fondu projektu un pasākumu īstenošana” ir plānots 2026.gadā 652 874 euro apmērā un 2027.gadam 75 694 euro apmērā, bet turpmākajos gados finansējums šajā valsts budžeta apakšprogrammā nav plānots. Ņemot vērā minēto, lūdzam papildināt konceptuālā ziņojuma V sadaļas “Ietekme uz valsts un pašvaldību budžetu” tabulu ar minēto informāciju, kā arī skaidrot/precizēt konceptuālā ziņojuma pielikuma Nr. 1 “Latviešu valodas mācību pieaugušajiem administrēšana un norise: pārskats par esošo situāciju (dati apkopoti 2024./2025. gadā, institūcijas ir mainījušas zināmas prasības mācību īstenotājiem 2026. gadā saistībā ar vadlīniju projektu)” 39.lpp iekļauto informāciju. Tāpat lūdzam pārskatīt un nepieciešamības gadījumā precizēt iepriekšējo gadu finansējuma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Konceptuālo ziņojumu ar jaunu (pēdējo) sadaļu par turpmākajām darbībām un to īstenošanu atbilstoši Ministru kabineta rīkojuma projektā paredzētajam, kā arī ņemot vērā Finanšu ministrijas izteiktos iebildumus par to. Vēršam uzmanību, ka šobrīd no Konceptuālā ziņojuma nav saprotama turpmākā Kultūras ministrijas, Sabiedrības integrācijas fonda un Labklājības ministrijas loma valsts valodas apmācību nodrošināšanā pēc institucionālā sadarbības modeļa izstrādes pārejas perioda beigām, ņemot vērā, ka tiek paredzēts, ka turpmāk par mācību īstenotāju kļūs Latviešu valodas aģentūra. Tāpat nav skaidrs, vai pārņemto funkciju īstenošanai tiek plānotas finansējuma pārdales no institūcijām, kas šobrīd nodrošina valsts valodas apmācības, uz Latviešu valodas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Konceptuālā ziņojuma V.sadaļu “Ietekme uz valsts un pašvaldību budžetu”, rīkojuma projekta 7.punktā un tā apakšpunktos uzrādītajām papildu nepieciešamā finansējuma summām nav pamatojuma, līdz ar to piedāvātajā redakcijā tie ir svītrojami. Vienlaikus atzīmējam, ka pie šī brīža prognozēm un atbilstoši definētajiem fiskālajiem nosacījumiem, novērtētā indikatīvā 2027.-2030. gada budžeta ietvara sagatavošanai pieejamā fiskālā telpa 2027. gadā ir 80,3 milj. euro, bet parējos gados tā ir negatīva, proti, 2028. gadā -153,3 milj. euro, 2029. gadā -191,1 milj. euro un 2030. gadā -883,5 milj. euro, kas nozīmē, ka papildu finansējums turpmākajiem gadiem bez kompensējošiem pasākumiem, kas, lai nodrošinātu atbilstību fiskālajiem nosacījumiem, primāri sedz negatīvo fiskālo telpu, nebūs pieejams. Ņemot vērā ģeopolitisko situāciju pasaulē, nav arī pamata sagaidīt, ka fiskālās telpas apmērs tuvāko valsts budžeta likumprojektu sagatavošanai ievērojami uzlabosies. Līdz ar to papildu nepieciešamais finansējums ir nodrošināms ministriju esošo līdzekļu ietvaros, pārskatot nozares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rīkojuma projekta 7.punkts ir izsakāms šādā redakcijā: “7. Konceptuālajā ziņojumā iekļautā risinājuma īstenošanu iestādes īsteno, ievērojot attiecīgā gada likumā par valsts budžetu un vidēja termiņa budžeta ietvaru tam paredzēto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sadaļas “</w:t>
            </w:r>
            <w:r w:rsidR="00000000" w:rsidRPr="00000000" w:rsidDel="00000000">
              <w:rPr>
                <w:i w:val="1"/>
                <w:rtl w:val="0"/>
              </w:rPr>
              <w:t xml:space="preserve">V. Ietekme uz valsts un pašvaldību budžetu</w:t>
            </w:r>
            <w:r w:rsidR="00000000" w:rsidRPr="00000000" w:rsidDel="00000000">
              <w:rPr>
                <w:rtl w:val="0"/>
              </w:rPr>
              <w:t xml:space="preserve">” tabulas aili “62.09.00 „Eiropas Reģionālās attīstības fonda (ERAF) projekti (2021‒2027)””, papildināt ar zemsvītras atsauci, norādot konkrētu Eiropas Savienības kohēzijas politikas programmas 2021.-2027. gadam Eiropas Reģionālās attīstības fonda pasākumu un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1. pielikumā “</w:t>
            </w:r>
            <w:r w:rsidR="00000000" w:rsidRPr="00000000" w:rsidDel="00000000">
              <w:rPr>
                <w:i w:val="1"/>
                <w:rtl w:val="0"/>
              </w:rPr>
              <w:t xml:space="preserve">Latviešu valodas mācību pieaugušajiem administrēšana un norise: pārskats par esošo situāciju (dati apkopoti 2024./2025. gadā, institūcijas ir mainījušas zināmas prasības mācību īstenotājiem 2026. gadā saistībā ar vadlīniju projektu)</w:t>
            </w:r>
            <w:r w:rsidR="00000000" w:rsidRPr="00000000" w:rsidDel="00000000">
              <w:rPr>
                <w:rtl w:val="0"/>
              </w:rPr>
              <w:t xml:space="preserve">” iekļaut informāciju par līdz šim paveikto </w:t>
            </w:r>
            <w:r w:rsidR="00000000" w:rsidRPr="00000000" w:rsidDel="00000000">
              <w:rPr>
                <w:i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w:t>
            </w:r>
            <w:r w:rsidR="00000000" w:rsidRPr="00000000" w:rsidDel="00000000">
              <w:rPr>
                <w:rtl w:val="0"/>
              </w:rPr>
              <w:t xml:space="preserve">" projekta “Latviešu valodas skolotāju izglītības programma darbam ar pieaugušajiem” (4.2.2.8/1/24/I/001) ietvaros, kā arī zemsvītras atsaucē norādīt pilno Atveseļošanas un noturības mehānisma projekta „Prasmju pilnveide pieaugušajiem”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sadaļā “Nepieciešamās izmaiņas normatīvajā regulējumā” sniegt izvērstu skaidrojumu par nepieciešamajiem grozījumiem, kā arī grozījumu mērķi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par pieaugušo prasmju pārvaldības platformas STARS līdzšinējo attīstību, sasniegtajiem rezultātiem un turpmāko pilnveidi, ņemot vērā līdz šim veiktos ieguldījumus Atveseļošanas un noturības mehānisma pasākuma </w:t>
            </w:r>
            <w:r w:rsidR="00000000" w:rsidRPr="00000000" w:rsidDel="00000000">
              <w:rPr>
                <w:i w:val="1"/>
                <w:rtl w:val="0"/>
              </w:rPr>
              <w:t xml:space="preserve">2.3.1.4.i. investīcijas “Individuālo mācību kontu pieejas attīstība”</w:t>
            </w:r>
            <w:r w:rsidR="00000000" w:rsidRPr="00000000" w:rsidDel="00000000">
              <w:rPr>
                <w:rtl w:val="0"/>
              </w:rPr>
              <w:t xml:space="preserve"> ietvaros, kā arī plānotajiem ieguldījumiem no Eiropas Savienības kohēzijas politikas programmas 2021.‒2027. gadam </w:t>
            </w:r>
            <w:r w:rsidR="00000000" w:rsidRPr="00000000" w:rsidDel="00000000">
              <w:rPr>
                <w:i w:val="1"/>
                <w:rtl w:val="0"/>
              </w:rPr>
              <w:t xml:space="preserve">1.3.1.1.pasākumā “IKT risinājumu un pakalpojumu attīstība un iespēju radīšana privātajam sektoram”</w:t>
            </w:r>
            <w:r w:rsidR="00000000" w:rsidRPr="00000000" w:rsidDel="00000000">
              <w:rPr>
                <w:rtl w:val="0"/>
              </w:rPr>
              <w:t xml:space="preserve"> projekta „Moduļa valsts valodas apguves pakalpojuma saņemšanai un pārvaldībai izveide” un</w:t>
            </w:r>
            <w:r w:rsidR="00000000" w:rsidRPr="00000000" w:rsidDel="00000000">
              <w:rPr>
                <w:i w:val="1"/>
                <w:rtl w:val="0"/>
              </w:rPr>
              <w:t xml:space="preserve"> 4.2.4.2. pasākuma "Atbalsts pieaugušo individuālajās vajadzībās balstītai pieaugušo izglītībai" </w:t>
            </w:r>
            <w:r w:rsidR="00000000" w:rsidRPr="00000000" w:rsidDel="00000000">
              <w:rPr>
                <w:rtl w:val="0"/>
              </w:rPr>
              <w:t xml:space="preserve">ietvaros. Vienlaikus lūdzam precizēt, kā tiks nodrošināta minēto investīciju savstarpējā papildināmība, novērsta funkcionalitāšu dublēšanās un veidota vienota pieeja pieaugušo izglītības un prasmju attīstības pakalpojumu pārvaldībai.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konceptuālā ziņojuma projektā piedāvātās pieejas sasaisti ar Ekonomikas ministrijas informatīvā ziņojuma projektā “Par vienotu pārvaldību, nodrošinot pieaugušo izglītības atbalsta pasākumus cilvēkkapitāla attīstībai” (26-TA-1094) noteikto. No abu ziņojumu pašreizējās redakcijas izriet, ka valsts valodas kā svešvalodas apguves sistēma pieaugušajiem tiek plānota kā atsevišķs risinājums ārpus vienotās pieaugušo izglītības pārvaldības modeļa. Lūdzam sniegt pamatojumu šādai atšķirīgai pieejai, skaidrojot, kādēļ valsts valodas apguves pasākumi netiek integrēti kopējā pieaugušo izglītības pārvaldības sistēmā, kā arī raksturot abu iniciatīvu savstarpējo mijiedarbību un kompetenču sadalījumu, lai novērstu pārklāšanās riskus un nodrošinātu vienotu valsts pārvaldības pieeju pieaugušo izglītības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39 lpp. finanšu plānojumu Atveseļošanas un noturības mehānisma (turpmāk – ANM) projektam Nr. 3.1.2.5.i.0/1/23/I/CFLA/001 „Prasmju pilnveide pieaugušajiem”, nodrošinot tā atbilstību projekta īstenošanas periodam. Ziņojuma projektā finansējums ir paredzēts arī </w:t>
            </w:r>
            <w:r w:rsidR="00000000" w:rsidRPr="00000000" w:rsidDel="00000000">
              <w:rPr>
                <w:b w:val="1"/>
                <w:rtl w:val="0"/>
              </w:rPr>
              <w:t xml:space="preserve">2027. gadam</w:t>
            </w:r>
            <w:r w:rsidR="00000000" w:rsidRPr="00000000" w:rsidDel="00000000">
              <w:rPr>
                <w:rtl w:val="0"/>
              </w:rPr>
              <w:t xml:space="preserve"> (1 460 044,32 eiro), lai gan </w:t>
            </w:r>
            <w:r w:rsidR="00000000" w:rsidRPr="00000000" w:rsidDel="00000000">
              <w:rPr>
                <w:b w:val="1"/>
                <w:rtl w:val="0"/>
              </w:rPr>
              <w:t xml:space="preserve">projekta īstenošanas termiņš ir </w:t>
            </w:r>
            <w:r w:rsidR="00000000" w:rsidRPr="00000000" w:rsidDel="00000000">
              <w:rPr>
                <w:rtl w:val="0"/>
              </w:rPr>
              <w:t xml:space="preserve">no 2023. gada 1. februāra </w:t>
            </w:r>
            <w:r w:rsidR="00000000" w:rsidRPr="00000000" w:rsidDel="00000000">
              <w:rPr>
                <w:b w:val="1"/>
                <w:rtl w:val="0"/>
              </w:rPr>
              <w:t xml:space="preserve">līdz 2026.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atbilstoši </w:t>
            </w:r>
            <w:r w:rsidR="00000000" w:rsidRPr="00000000" w:rsidDel="00000000">
              <w:rPr>
                <w:b w:val="1"/>
                <w:rtl w:val="0"/>
              </w:rPr>
              <w:t xml:space="preserve">Eiropas Komisijas</w:t>
            </w:r>
            <w:r w:rsidR="00000000" w:rsidRPr="00000000" w:rsidDel="00000000">
              <w:rPr>
                <w:rtl w:val="0"/>
              </w:rPr>
              <w:t xml:space="preserve"> (turpmāk – EK) </w:t>
            </w:r>
            <w:r w:rsidR="00000000" w:rsidRPr="00000000" w:rsidDel="00000000">
              <w:rPr>
                <w:b w:val="1"/>
                <w:rtl w:val="0"/>
              </w:rPr>
              <w:t xml:space="preserve">vadlīnijām dalībvalstīm par ANM noslēguma posma un slēgšanas operatīvajiem aspektiem</w:t>
            </w:r>
            <w:r w:rsidR="00000000" w:rsidRPr="00000000" w:rsidDel="00000000">
              <w:rPr>
                <w:rtl w:val="0"/>
              </w:rPr>
              <w:t xml:space="preserve">* -  visi maksājumu pieprasījumi, tai skaitā pārvaldības deklarācijas, veikto revīziju kopsavilkumi un visi to novērtēšanai nepieciešamie pamatojuma dokumenti EK </w:t>
            </w:r>
            <w:r w:rsidR="00000000" w:rsidRPr="00000000" w:rsidDel="00000000">
              <w:rPr>
                <w:b w:val="1"/>
                <w:rtl w:val="0"/>
              </w:rPr>
              <w:t xml:space="preserve">jāiesniedz līdz 2026. gada 30. septembrim</w:t>
            </w:r>
            <w:r w:rsidR="00000000" w:rsidRPr="00000000" w:rsidDel="00000000">
              <w:rPr>
                <w:rtl w:val="0"/>
              </w:rPr>
              <w:t xml:space="preserve">. Šis termiņš atbilst piemērojamiem finansēšanas un aizdevuma nolīgumiem. Attiecīgā gadījumā pārvaldības deklarācijā jānorāda, ja izpilde ir tikai daļēja, kā arī jāidentificē visi ierobežojumi, novirzes vai neizpildītie elementi. Savukārt visi EK maksājumi jāveic </w:t>
            </w:r>
            <w:r w:rsidR="00000000" w:rsidRPr="00000000" w:rsidDel="00000000">
              <w:rPr>
                <w:b w:val="1"/>
                <w:rtl w:val="0"/>
              </w:rPr>
              <w:t xml:space="preserve">līdz 2026.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https://www.esfondi.lv/normativie-akti-un-dokumenti/atveselosanas-fonds-main/ek-vadlinijas-dalibvalstim-par-atveselosanas-un-noturibas-mehanisma-nosleguma-posma-un-slegsanas-operativajiem-aspektiem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uztveramību, aicinām sanumurēt konceptuālajā ziņojumā iekļautās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IV sadaļas “Ietekme uz problēmas risināšanu” 19.-20.lpp tabulā norādīto ieguvumu rādītāju raksturojumu (KPI) Nr.6 “Pakalpojumu kvalitātes uzlabošana. Nodrošināta centralizēta datu uzskaite un pieejamība par valsts valodas apguvi un mācību rezultātiem”, jo šis rādītājs ir iekļauts tabulā trīs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nosaukumu un tā tekstu, ņemot vērā, ka atbilstoši MK rīkojuma projektam tiek atbalstīts konceptuālā ziņojumā aprakstītais risinājums nevis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01.07.2026.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01.07.2026.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Atzinumi_26-TA-373.docx</dc:title>
</cp:coreProperties>
</file>

<file path=docProps/custom.xml><?xml version="1.0" encoding="utf-8"?>
<Properties xmlns="http://schemas.openxmlformats.org/officeDocument/2006/custom-properties" xmlns:vt="http://schemas.openxmlformats.org/officeDocument/2006/docPropsVTypes"/>
</file>